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left"/>
        <w:rPr>
          <w:rFonts w:hint="eastAsia" w:ascii="宋体" w:hAnsi="宋体" w:eastAsia="宋体" w:cs="宋体"/>
          <w:b/>
          <w:sz w:val="32"/>
          <w:szCs w:val="32"/>
        </w:rPr>
      </w:pPr>
    </w:p>
    <w:p>
      <w:pPr>
        <w:spacing w:line="960" w:lineRule="exact"/>
        <w:jc w:val="center"/>
        <w:rPr>
          <w:rFonts w:hint="eastAsia" w:ascii="宋体" w:hAnsi="宋体" w:eastAsia="宋体" w:cs="宋体"/>
          <w:b/>
          <w:sz w:val="44"/>
          <w:szCs w:val="44"/>
        </w:rPr>
      </w:pPr>
      <w:r>
        <w:rPr>
          <w:rFonts w:hint="eastAsia" w:ascii="宋体" w:hAnsi="宋体" w:eastAsia="宋体" w:cs="宋体"/>
          <w:b/>
          <w:sz w:val="48"/>
          <w:szCs w:val="48"/>
        </w:rPr>
        <w:t>河北省太行山高速公路邢台段</w:t>
      </w:r>
    </w:p>
    <w:p>
      <w:pPr>
        <w:spacing w:line="960" w:lineRule="exact"/>
        <w:jc w:val="center"/>
        <w:rPr>
          <w:rFonts w:hint="eastAsia" w:ascii="宋体" w:hAnsi="宋体" w:eastAsia="宋体" w:cs="宋体"/>
          <w:b/>
          <w:sz w:val="44"/>
          <w:szCs w:val="44"/>
        </w:rPr>
      </w:pPr>
    </w:p>
    <w:p>
      <w:pPr>
        <w:spacing w:line="960" w:lineRule="exact"/>
        <w:jc w:val="center"/>
        <w:rPr>
          <w:rFonts w:hint="eastAsia" w:ascii="宋体" w:hAnsi="宋体" w:eastAsia="宋体" w:cs="宋体"/>
          <w:b/>
          <w:sz w:val="44"/>
          <w:szCs w:val="44"/>
        </w:rPr>
      </w:pPr>
    </w:p>
    <w:p>
      <w:pPr>
        <w:spacing w:line="960" w:lineRule="exact"/>
        <w:jc w:val="center"/>
        <w:rPr>
          <w:rFonts w:hint="eastAsia" w:ascii="宋体" w:hAnsi="宋体" w:eastAsia="宋体" w:cs="宋体"/>
          <w:b/>
          <w:sz w:val="84"/>
          <w:szCs w:val="84"/>
        </w:rPr>
      </w:pPr>
      <w:r>
        <w:rPr>
          <w:rFonts w:hint="eastAsia" w:ascii="宋体" w:hAnsi="宋体" w:eastAsia="宋体" w:cs="宋体"/>
          <w:b/>
          <w:sz w:val="84"/>
          <w:szCs w:val="84"/>
        </w:rPr>
        <w:t>质量安全月报</w:t>
      </w:r>
    </w:p>
    <w:p>
      <w:pPr>
        <w:spacing w:line="960" w:lineRule="exact"/>
        <w:jc w:val="center"/>
        <w:rPr>
          <w:rFonts w:hint="eastAsia" w:ascii="宋体" w:hAnsi="宋体" w:eastAsia="宋体" w:cs="宋体"/>
          <w:b/>
          <w:sz w:val="84"/>
          <w:szCs w:val="84"/>
        </w:rPr>
      </w:pPr>
    </w:p>
    <w:p>
      <w:pPr>
        <w:spacing w:line="960" w:lineRule="exact"/>
        <w:jc w:val="center"/>
        <w:rPr>
          <w:rFonts w:hint="eastAsia" w:ascii="宋体" w:hAnsi="宋体" w:eastAsia="宋体" w:cs="宋体"/>
          <w:b/>
          <w:bCs w:val="0"/>
          <w:sz w:val="52"/>
          <w:szCs w:val="52"/>
        </w:rPr>
      </w:pPr>
      <w:r>
        <w:rPr>
          <w:rFonts w:hint="eastAsia" w:ascii="宋体" w:hAnsi="宋体" w:eastAsia="宋体" w:cs="宋体"/>
          <w:b/>
          <w:bCs w:val="0"/>
          <w:sz w:val="52"/>
          <w:szCs w:val="52"/>
          <w:lang w:val="en-US" w:eastAsia="zh-CN"/>
        </w:rPr>
        <w:t>1</w:t>
      </w:r>
      <w:r>
        <w:rPr>
          <w:rFonts w:hint="eastAsia" w:ascii="宋体" w:hAnsi="宋体" w:eastAsia="宋体" w:cs="宋体"/>
          <w:b/>
          <w:bCs w:val="0"/>
          <w:sz w:val="52"/>
          <w:szCs w:val="52"/>
        </w:rPr>
        <w:t>月份</w:t>
      </w: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河北省太行山高速公路邢台段筹建处</w:t>
      </w:r>
    </w:p>
    <w:p>
      <w:pPr>
        <w:spacing w:line="560" w:lineRule="exact"/>
        <w:jc w:val="center"/>
        <w:rPr>
          <w:rFonts w:hint="eastAsia" w:ascii="宋体" w:hAnsi="宋体" w:eastAsia="宋体" w:cs="宋体"/>
          <w:sz w:val="28"/>
          <w:szCs w:val="28"/>
        </w:rPr>
      </w:pPr>
      <w:r>
        <w:rPr>
          <w:rFonts w:hint="eastAsia" w:ascii="宋体" w:hAnsi="宋体" w:eastAsia="宋体" w:cs="宋体"/>
          <w:b/>
          <w:sz w:val="28"/>
          <w:szCs w:val="28"/>
        </w:rPr>
        <w:t xml:space="preserve">日 期：  </w:t>
      </w: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w:t>
      </w:r>
      <w:r>
        <w:rPr>
          <w:rFonts w:hint="eastAsia" w:ascii="宋体" w:hAnsi="宋体" w:eastAsia="宋体" w:cs="宋体"/>
          <w:sz w:val="28"/>
          <w:szCs w:val="28"/>
          <w:lang w:val="en-US" w:eastAsia="zh-CN"/>
        </w:rPr>
        <w:t>1</w:t>
      </w:r>
      <w:r>
        <w:rPr>
          <w:rFonts w:hint="eastAsia" w:ascii="宋体" w:hAnsi="宋体" w:eastAsia="宋体" w:cs="宋体"/>
          <w:sz w:val="28"/>
          <w:szCs w:val="28"/>
        </w:rPr>
        <w:t>-</w:t>
      </w:r>
      <w:r>
        <w:rPr>
          <w:rFonts w:hint="eastAsia" w:ascii="宋体" w:hAnsi="宋体" w:eastAsia="宋体" w:cs="宋体"/>
          <w:sz w:val="28"/>
          <w:szCs w:val="28"/>
          <w:lang w:val="en-US" w:eastAsia="zh-CN"/>
        </w:rPr>
        <w:t>31</w:t>
      </w:r>
    </w:p>
    <w:p>
      <w:pPr>
        <w:spacing w:line="560" w:lineRule="exact"/>
        <w:jc w:val="left"/>
        <w:rPr>
          <w:rFonts w:hint="eastAsia" w:ascii="宋体" w:hAnsi="宋体" w:eastAsia="宋体" w:cs="宋体"/>
          <w:sz w:val="32"/>
          <w:szCs w:val="32"/>
        </w:rPr>
      </w:pPr>
    </w:p>
    <w:p>
      <w:pPr>
        <w:spacing w:line="560" w:lineRule="exact"/>
        <w:jc w:val="left"/>
        <w:rPr>
          <w:rFonts w:hint="eastAsia" w:ascii="宋体" w:hAnsi="宋体" w:eastAsia="宋体" w:cs="宋体"/>
          <w:sz w:val="32"/>
          <w:szCs w:val="32"/>
        </w:rPr>
        <w:sectPr>
          <w:footerReference r:id="rId3" w:type="default"/>
          <w:pgSz w:w="11906" w:h="16838"/>
          <w:pgMar w:top="1440" w:right="1463" w:bottom="1440" w:left="1463"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560" w:lineRule="exact"/>
        <w:jc w:val="left"/>
        <w:rPr>
          <w:rFonts w:hint="eastAsia" w:ascii="宋体" w:hAnsi="宋体" w:eastAsia="宋体" w:cs="宋体"/>
          <w:sz w:val="32"/>
          <w:szCs w:val="32"/>
        </w:rPr>
      </w:pPr>
    </w:p>
    <w:p>
      <w:pPr>
        <w:pStyle w:val="10"/>
        <w:spacing w:line="500" w:lineRule="exact"/>
        <w:ind w:left="0" w:leftChars="0" w:firstLine="0" w:firstLineChars="0"/>
        <w:jc w:val="left"/>
        <w:rPr>
          <w:rFonts w:hint="eastAsia" w:ascii="宋体" w:hAnsi="宋体" w:eastAsia="宋体" w:cs="宋体"/>
          <w:sz w:val="32"/>
          <w:szCs w:val="32"/>
        </w:rPr>
      </w:pPr>
      <w:r>
        <w:rPr>
          <w:rFonts w:hint="eastAsia" w:ascii="宋体" w:hAnsi="宋体" w:eastAsia="宋体" w:cs="宋体"/>
          <w:bCs/>
          <w:sz w:val="32"/>
          <w:szCs w:val="32"/>
        </w:rPr>
        <w:t>一、工程总体进度情况:</w:t>
      </w:r>
    </w:p>
    <w:p>
      <w:pPr>
        <w:pStyle w:val="3"/>
        <w:spacing w:line="500" w:lineRule="exact"/>
        <w:ind w:firstLine="615"/>
        <w:jc w:val="left"/>
        <w:rPr>
          <w:rFonts w:hint="eastAsia" w:ascii="宋体" w:hAnsi="宋体" w:eastAsia="宋体" w:cs="宋体"/>
          <w:b w:val="0"/>
          <w:spacing w:val="0"/>
          <w:sz w:val="32"/>
          <w:szCs w:val="32"/>
        </w:rPr>
      </w:pPr>
      <w:r>
        <w:rPr>
          <w:rFonts w:hint="eastAsia" w:ascii="宋体" w:hAnsi="宋体" w:eastAsia="宋体" w:cs="宋体"/>
          <w:b w:val="0"/>
          <w:spacing w:val="0"/>
          <w:sz w:val="32"/>
          <w:szCs w:val="32"/>
        </w:rPr>
        <w:t>进度情况请详见《中电建冀交高速公路投资发展有限公司建设周报》。</w:t>
      </w:r>
    </w:p>
    <w:p>
      <w:pPr>
        <w:pStyle w:val="3"/>
        <w:spacing w:line="500" w:lineRule="exact"/>
        <w:ind w:firstLine="615"/>
        <w:jc w:val="left"/>
        <w:rPr>
          <w:rFonts w:hint="eastAsia" w:ascii="宋体" w:hAnsi="宋体" w:eastAsia="宋体" w:cs="宋体"/>
          <w:b w:val="0"/>
          <w:spacing w:val="0"/>
          <w:sz w:val="32"/>
          <w:szCs w:val="32"/>
        </w:rPr>
      </w:pPr>
    </w:p>
    <w:p>
      <w:pPr>
        <w:pStyle w:val="3"/>
        <w:spacing w:line="500" w:lineRule="exact"/>
        <w:jc w:val="left"/>
        <w:rPr>
          <w:rFonts w:hint="eastAsia" w:ascii="宋体" w:hAnsi="宋体" w:eastAsia="宋体" w:cs="宋体"/>
          <w:spacing w:val="0"/>
          <w:sz w:val="32"/>
          <w:szCs w:val="32"/>
        </w:rPr>
      </w:pPr>
      <w:r>
        <w:rPr>
          <w:rFonts w:hint="eastAsia" w:ascii="宋体" w:hAnsi="宋体" w:eastAsia="宋体" w:cs="宋体"/>
          <w:spacing w:val="0"/>
          <w:sz w:val="32"/>
          <w:szCs w:val="32"/>
        </w:rPr>
        <w:t>二、质量</w:t>
      </w:r>
      <w:r>
        <w:rPr>
          <w:rFonts w:hint="eastAsia" w:ascii="宋体" w:hAnsi="宋体" w:eastAsia="宋体" w:cs="宋体"/>
          <w:spacing w:val="0"/>
          <w:sz w:val="32"/>
          <w:szCs w:val="32"/>
          <w:lang w:eastAsia="zh-CN"/>
        </w:rPr>
        <w:t>、安全和实验</w:t>
      </w:r>
      <w:r>
        <w:rPr>
          <w:rFonts w:hint="eastAsia" w:ascii="宋体" w:hAnsi="宋体" w:eastAsia="宋体" w:cs="宋体"/>
          <w:spacing w:val="0"/>
          <w:sz w:val="32"/>
          <w:szCs w:val="32"/>
        </w:rPr>
        <w:t>控制情况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val="0"/>
          <w:kern w:val="10"/>
          <w:sz w:val="32"/>
          <w:szCs w:val="32"/>
        </w:rPr>
      </w:pPr>
      <w:r>
        <w:rPr>
          <w:rFonts w:hint="eastAsia" w:ascii="宋体" w:hAnsi="宋体" w:eastAsia="宋体" w:cs="宋体"/>
          <w:b/>
          <w:bCs w:val="0"/>
          <w:kern w:val="10"/>
          <w:sz w:val="32"/>
          <w:szCs w:val="32"/>
        </w:rPr>
        <w:t>（</w:t>
      </w:r>
      <w:r>
        <w:rPr>
          <w:rFonts w:hint="eastAsia" w:ascii="宋体" w:hAnsi="宋体" w:eastAsia="宋体" w:cs="宋体"/>
          <w:b/>
          <w:color w:val="000000" w:themeColor="text1"/>
          <w:kern w:val="0"/>
          <w:sz w:val="32"/>
          <w:szCs w:val="32"/>
          <w:lang w:val="en-US" w:eastAsia="zh-CN"/>
        </w:rPr>
        <w:t>一）质量控</w:t>
      </w:r>
      <w:r>
        <w:rPr>
          <w:rFonts w:hint="eastAsia" w:ascii="宋体" w:hAnsi="宋体" w:eastAsia="宋体" w:cs="宋体"/>
          <w:b/>
          <w:bCs w:val="0"/>
          <w:kern w:val="10"/>
          <w:sz w:val="32"/>
          <w:szCs w:val="32"/>
        </w:rPr>
        <w:t>制情况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spacing w:val="0"/>
          <w:kern w:val="10"/>
          <w:sz w:val="32"/>
          <w:szCs w:val="32"/>
          <w:lang w:val="en-US" w:eastAsia="zh-CN" w:bidi="ar-SA"/>
        </w:rPr>
      </w:pPr>
      <w:r>
        <w:rPr>
          <w:rFonts w:hint="eastAsia" w:ascii="宋体" w:hAnsi="宋体" w:eastAsia="宋体" w:cs="宋体"/>
          <w:b w:val="0"/>
          <w:bCs/>
          <w:spacing w:val="0"/>
          <w:kern w:val="10"/>
          <w:sz w:val="32"/>
          <w:szCs w:val="32"/>
          <w:lang w:val="en-US" w:eastAsia="zh-CN" w:bidi="ar-SA"/>
        </w:rPr>
        <w:t>1月份，筹建处在创建品质示范工程的基础上加强冬期施工管理力度，要求各标段</w:t>
      </w:r>
      <w:r>
        <w:rPr>
          <w:rFonts w:hint="eastAsia" w:ascii="宋体" w:hAnsi="宋体" w:eastAsia="宋体" w:cs="宋体"/>
          <w:sz w:val="32"/>
          <w:szCs w:val="32"/>
          <w:lang w:val="en-US" w:eastAsia="zh-CN"/>
        </w:rPr>
        <w:t>严格按照总监办批复的冬施方案进行冬施作业，</w:t>
      </w:r>
      <w:r>
        <w:rPr>
          <w:rFonts w:hint="eastAsia" w:ascii="宋体" w:hAnsi="宋体" w:eastAsia="宋体" w:cs="宋体"/>
          <w:b w:val="0"/>
          <w:bCs/>
          <w:spacing w:val="0"/>
          <w:kern w:val="10"/>
          <w:sz w:val="32"/>
          <w:szCs w:val="32"/>
          <w:lang w:val="en-US" w:eastAsia="zh-CN" w:bidi="ar-SA"/>
        </w:rPr>
        <w:t>要求现场监理加强预制梁场冬季施工过程的监管监督力度，重点加强混凝土浇筑、预制T梁钢筋、张拉压浆及隧道附属等工作的全过程监督监控。各总监办严格按照监理程序对各工序进行了检查验收，充分利用试验、测量、抽检、巡视、旁站等监理手段，对分部分项工程进行了质量验收。邢台段整体工程质量状态可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预制梁场施工及养生。一月份，降雪和气温下降对梁场施工有一定影响。筹建处要求各预制梁场满足冬施条件后再进行施工作业，不具备冬施条件的梁场禁止施工，同时各单位加大梁场养生日常和夜间巡视力度。</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lang w:val="en-US" w:eastAsia="zh-CN"/>
        </w:rPr>
      </w:pPr>
      <w:r>
        <w:rPr>
          <w:rFonts w:hint="eastAsia" w:ascii="宋体" w:hAnsi="宋体" w:eastAsia="宋体" w:cs="宋体"/>
          <w:b w:val="0"/>
          <w:bCs/>
          <w:color w:val="auto"/>
          <w:spacing w:val="0"/>
          <w:kern w:val="10"/>
          <w:sz w:val="32"/>
          <w:szCs w:val="32"/>
          <w:lang w:val="en-US" w:eastAsia="zh-CN" w:bidi="ar-SA"/>
        </w:rPr>
        <w:t>2、隧道施工。要求总监办加强隧道附属等工作的全过程监督监控。要求施工</w:t>
      </w:r>
      <w:r>
        <w:rPr>
          <w:rFonts w:hint="eastAsia" w:ascii="宋体" w:hAnsi="宋体" w:eastAsia="宋体" w:cs="宋体"/>
          <w:b w:val="0"/>
          <w:bCs/>
          <w:snapToGrid/>
          <w:color w:val="auto"/>
          <w:spacing w:val="0"/>
          <w:kern w:val="10"/>
          <w:sz w:val="32"/>
          <w:szCs w:val="32"/>
          <w:lang w:val="en-US" w:eastAsia="zh-CN" w:bidi="ar-SA"/>
        </w:rPr>
        <w:t>单位采取</w:t>
      </w:r>
      <w:r>
        <w:rPr>
          <w:rFonts w:hint="eastAsia" w:ascii="宋体" w:hAnsi="宋体" w:eastAsia="宋体" w:cs="宋体"/>
          <w:sz w:val="32"/>
          <w:szCs w:val="32"/>
          <w:lang w:val="en-US" w:eastAsia="zh-CN"/>
        </w:rPr>
        <w:t>相应加热保温措施，确保洞内施工温度。1月7日对路基四标段牛峪南坪隧道质量安全施工检查时发现右洞K58+168-K58+220段落初期支护未安装砂浆锚杆和钢筋网片，已现场要求整改，并下发文件对XTJL3总监办通报批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3、1月1日，路基二标段K26+696.081天桥2-1桩基浇筑完成，标志着二标段所有桩基浇筑完成。</w:t>
      </w:r>
    </w:p>
    <w:p>
      <w:pPr>
        <w:pStyle w:val="2"/>
        <w:ind w:firstLine="640" w:firstLineChars="200"/>
        <w:jc w:val="both"/>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4、1月3日，路基三标段大百工1号桥首榀钢箱梁架设成功。</w:t>
      </w:r>
    </w:p>
    <w:p>
      <w:pPr>
        <w:pStyle w:val="2"/>
        <w:ind w:firstLine="640" w:firstLineChars="200"/>
        <w:jc w:val="both"/>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5、</w:t>
      </w:r>
      <w:r>
        <w:rPr>
          <w:rFonts w:hint="eastAsia" w:ascii="宋体" w:hAnsi="宋体" w:eastAsia="宋体" w:cs="宋体"/>
          <w:b w:val="0"/>
          <w:bCs/>
          <w:color w:val="auto"/>
          <w:spacing w:val="0"/>
          <w:kern w:val="10"/>
          <w:sz w:val="32"/>
          <w:szCs w:val="32"/>
          <w:lang w:val="en-US" w:eastAsia="zh-CN" w:bidi="ar-SA"/>
        </w:rPr>
        <w:t>筹建处工程科和质安科1月6日对全线台背预压、路基成型段落及隧道质量安全施工进行联合验收检查，并下发通报（冀太邢〔2018〕5号）限期整改，截止目前，已全部整改到位并形成闭合。</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6、筹建处要求各参建单位继续落实冬季施工领导带头夜巡制度，加大巡视检查频率，确保冬季施工措施落实到位，保证施工质量。</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7、各标段根据筹建处工作部署台背预压，并做好沉降观测记录。</w:t>
      </w:r>
    </w:p>
    <w:p>
      <w:pPr>
        <w:pStyle w:val="2"/>
        <w:ind w:firstLine="640" w:firstLineChars="200"/>
        <w:jc w:val="left"/>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8、本月，省质监站、交投集团质量督导组和项目公司质安部督导邢台段冬季质量安全施工情况并下发通报。筹建处高度重视，及时组织各单位落实整改，并按时将整改情况报送至各单位。</w:t>
      </w:r>
    </w:p>
    <w:p>
      <w:pPr>
        <w:pStyle w:val="2"/>
        <w:ind w:firstLine="640" w:firstLineChars="200"/>
        <w:jc w:val="left"/>
        <w:rPr>
          <w:rFonts w:hint="eastAsia" w:ascii="宋体" w:hAnsi="宋体" w:eastAsia="宋体" w:cs="宋体"/>
          <w:sz w:val="32"/>
          <w:szCs w:val="32"/>
          <w:lang w:val="en-US" w:eastAsia="zh-CN"/>
        </w:rPr>
      </w:pPr>
      <w:r>
        <w:rPr>
          <w:rFonts w:hint="eastAsia" w:ascii="宋体" w:hAnsi="宋体" w:eastAsia="宋体" w:cs="宋体"/>
          <w:b w:val="0"/>
          <w:bCs/>
          <w:color w:val="auto"/>
          <w:spacing w:val="0"/>
          <w:kern w:val="10"/>
          <w:sz w:val="32"/>
          <w:szCs w:val="32"/>
          <w:lang w:val="en-US" w:eastAsia="zh-CN" w:bidi="ar-SA"/>
        </w:rPr>
        <w:t>9、</w:t>
      </w:r>
      <w:r>
        <w:rPr>
          <w:rFonts w:hint="eastAsia" w:ascii="宋体" w:hAnsi="宋体" w:eastAsia="宋体" w:cs="宋体"/>
          <w:sz w:val="32"/>
          <w:szCs w:val="32"/>
          <w:lang w:val="en-US" w:eastAsia="zh-CN"/>
        </w:rPr>
        <w:t>1月16日，</w:t>
      </w:r>
      <w:r>
        <w:rPr>
          <w:rFonts w:hint="eastAsia" w:ascii="宋体" w:hAnsi="宋体" w:eastAsia="宋体" w:cs="宋体"/>
          <w:sz w:val="32"/>
          <w:szCs w:val="32"/>
          <w:lang w:eastAsia="zh-CN"/>
        </w:rPr>
        <w:t>路基</w:t>
      </w:r>
      <w:r>
        <w:rPr>
          <w:rFonts w:hint="eastAsia" w:ascii="宋体" w:hAnsi="宋体" w:eastAsia="宋体" w:cs="宋体"/>
          <w:sz w:val="32"/>
          <w:szCs w:val="32"/>
        </w:rPr>
        <w:t>一标段泜河2号大桥右幅钢混工字梁顶推施工完成。右幅第二联120米顶推于2018年1月9日开始，历时8天</w:t>
      </w:r>
      <w:r>
        <w:rPr>
          <w:rFonts w:hint="eastAsia" w:ascii="宋体" w:hAnsi="宋体" w:eastAsia="宋体" w:cs="宋体"/>
          <w:sz w:val="32"/>
          <w:szCs w:val="32"/>
          <w:lang w:eastAsia="zh-CN"/>
        </w:rPr>
        <w:t>，筹建处工程科和质安科关注</w:t>
      </w:r>
      <w:r>
        <w:rPr>
          <w:rFonts w:hint="eastAsia" w:ascii="宋体" w:hAnsi="宋体" w:eastAsia="宋体" w:cs="宋体"/>
          <w:sz w:val="32"/>
          <w:szCs w:val="32"/>
        </w:rPr>
        <w:t>顶推过程</w:t>
      </w:r>
      <w:r>
        <w:rPr>
          <w:rFonts w:hint="eastAsia" w:ascii="宋体" w:hAnsi="宋体" w:eastAsia="宋体" w:cs="宋体"/>
          <w:sz w:val="32"/>
          <w:szCs w:val="32"/>
          <w:lang w:eastAsia="zh-CN"/>
        </w:rPr>
        <w:t>，监理</w:t>
      </w:r>
      <w:r>
        <w:rPr>
          <w:rFonts w:hint="eastAsia" w:ascii="宋体" w:hAnsi="宋体" w:eastAsia="宋体" w:cs="宋体"/>
          <w:sz w:val="32"/>
          <w:szCs w:val="32"/>
        </w:rPr>
        <w:t>全过程旁站，</w:t>
      </w:r>
      <w:r>
        <w:rPr>
          <w:rFonts w:hint="eastAsia" w:ascii="宋体" w:hAnsi="宋体" w:eastAsia="宋体" w:cs="宋体"/>
          <w:sz w:val="32"/>
          <w:szCs w:val="32"/>
          <w:lang w:eastAsia="zh-CN"/>
        </w:rPr>
        <w:t>未</w:t>
      </w:r>
      <w:r>
        <w:rPr>
          <w:rFonts w:hint="eastAsia" w:ascii="宋体" w:hAnsi="宋体" w:eastAsia="宋体" w:cs="宋体"/>
          <w:sz w:val="32"/>
          <w:szCs w:val="32"/>
        </w:rPr>
        <w:t>发生质量安全事故。</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1月24日，筹建处组织召开中水电四局法人代表约谈会</w:t>
      </w:r>
      <w:r>
        <w:rPr>
          <w:rFonts w:hint="eastAsia" w:ascii="宋体" w:hAnsi="宋体" w:eastAsia="宋体" w:cs="宋体"/>
          <w:b w:val="0"/>
          <w:bCs/>
          <w:snapToGrid w:val="0"/>
          <w:color w:val="auto"/>
          <w:spacing w:val="0"/>
          <w:kern w:val="10"/>
          <w:sz w:val="32"/>
          <w:szCs w:val="32"/>
          <w:lang w:val="en-US" w:eastAsia="zh-CN" w:bidi="ar-SA"/>
        </w:rPr>
        <w:t>。根据2018年省政府、省厅、交投集团下达节点工程任务，针对现阶段邢台段剩余工程量进行进度计划、人、机、料的投入以及品质工程建设工作进行部署。为2018年底通车奠定了基础。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1月27日路基四标段沙河2号大桥右幅顺利贯通。</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12、1月29日，太行山高速邢台段组织召开第九次工地例会。会上各参建单位依次汇报了1月份工程进度、质量安全、地方等方面工作进展、问题落实整改情况以及明年计划部署。</w:t>
      </w:r>
    </w:p>
    <w:p>
      <w:pPr>
        <w:pStyle w:val="2"/>
        <w:ind w:firstLine="640" w:firstLineChars="200"/>
        <w:jc w:val="both"/>
        <w:rPr>
          <w:rFonts w:hint="eastAsia"/>
          <w:lang w:val="en-US" w:eastAsia="zh-CN"/>
        </w:rPr>
      </w:pPr>
      <w:r>
        <w:rPr>
          <w:rFonts w:hint="eastAsia" w:ascii="宋体" w:hAnsi="宋体" w:eastAsia="宋体" w:cs="宋体"/>
          <w:sz w:val="32"/>
          <w:szCs w:val="32"/>
          <w:lang w:val="en-US" w:eastAsia="zh-CN"/>
        </w:rPr>
        <w:t>13、1月31日，项目公司和筹建处组织各总监办、总包部及第三方检测单位对邢台段全线桥梁支座进行专项检查。</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14、路面标段暂无冬季施工计划，筹建处下发文件督促各路基、路面标段做好冬季备料工作。</w:t>
      </w:r>
    </w:p>
    <w:p>
      <w:pPr>
        <w:pStyle w:val="2"/>
        <w:numPr>
          <w:numId w:val="0"/>
        </w:numPr>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（二）试验管控</w:t>
      </w:r>
    </w:p>
    <w:p>
      <w:pPr>
        <w:adjustRightInd w:val="0"/>
        <w:snapToGrid w:val="0"/>
        <w:spacing w:line="360"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1月份气温进一步降低，筹建处要求各总监办、标段高度重视试验工作，各试验室要严格按照各项试验规程开展试验工作。</w:t>
      </w:r>
    </w:p>
    <w:p>
      <w:pPr>
        <w:numPr>
          <w:ilvl w:val="0"/>
          <w:numId w:val="3"/>
        </w:numPr>
        <w:adjustRightInd w:val="0"/>
        <w:snapToGrid w:val="0"/>
        <w:spacing w:line="360"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易出现问题部位优先检测，加大检测频率。加强水泥、钢筋及沙石料等原材料的抽检频次，通过巡视检查以及抽样检查等方式，对进场的不合格材料及时进行清除出场。</w:t>
      </w:r>
    </w:p>
    <w:p>
      <w:pPr>
        <w:numPr>
          <w:ilvl w:val="0"/>
          <w:numId w:val="3"/>
        </w:numPr>
        <w:adjustRightInd w:val="0"/>
        <w:snapToGrid w:val="0"/>
        <w:spacing w:line="360" w:lineRule="auto"/>
        <w:ind w:firstLine="640" w:firstLineChars="200"/>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sz w:val="32"/>
          <w:szCs w:val="32"/>
          <w:lang w:val="en-US" w:eastAsia="zh-CN"/>
        </w:rPr>
        <w:t>钢筋焊接不预弯或预弯不同心的焊件、焊接后有烧筋咬筋现象的焊件进行切割处理，坚决不允许不合格产品用于实体工程。</w:t>
      </w:r>
    </w:p>
    <w:p>
      <w:pPr>
        <w:numPr>
          <w:ilvl w:val="0"/>
          <w:numId w:val="3"/>
        </w:numPr>
        <w:adjustRightInd w:val="0"/>
        <w:snapToGrid w:val="0"/>
        <w:spacing w:line="360" w:lineRule="auto"/>
        <w:ind w:firstLine="640" w:firstLineChars="200"/>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sz w:val="32"/>
          <w:szCs w:val="32"/>
          <w:lang w:val="en-US" w:eastAsia="zh-CN"/>
        </w:rPr>
        <w:t>加大对于试验室各项管理，按规定落实外委费用。</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xml:space="preserve">    4、重点监控拌合站是否按批准的配合比施工，对浇筑后的实体质量按要求进行回弹检测，要求监理对张拉压浆全过程进行旁站监督。</w:t>
      </w:r>
    </w:p>
    <w:p>
      <w:pPr>
        <w:pStyle w:val="2"/>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5、1月8日，筹建处对各总监办、各路面标段及第三方检测单位试验人员进行理论专业考试。</w:t>
      </w:r>
    </w:p>
    <w:p>
      <w:pPr>
        <w:pStyle w:val="2"/>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6、1月25日，筹建处组织各总监办、各路面标段及第三方检测单位试验人员进行路面试验实操能力考试。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sz w:val="32"/>
          <w:szCs w:val="32"/>
          <w:lang w:val="en-US" w:eastAsia="zh-CN"/>
        </w:rPr>
        <w:t>7、各总监办实验数据详见附表。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（三）安全控制情况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本月筹建处按照省厅、交投集团及项目公司安全生产工作和安排部署，筹建处对三个总监办、五个路基标段、两个路面标段进行了安全督导。1月份，各标段现场安全生产处于可控状态，未发生安全事故。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1、筹建处继续推进“平安交通专项整治行动”、“质量问题及安全隐患排查治理行动”和“高速公路建设工程质量安全生产事故隐患大排查大整治攻坚行动”等工作，要求各总监办加大监管力度，各标段对排查出的安全隐患问题积极进行整改，防止发生重特大安全事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lang w:val="en-US" w:eastAsia="zh-CN"/>
        </w:rPr>
      </w:pPr>
      <w:r>
        <w:rPr>
          <w:rFonts w:hint="eastAsia" w:ascii="宋体" w:hAnsi="宋体" w:eastAsia="宋体" w:cs="宋体"/>
          <w:snapToGrid/>
          <w:kern w:val="2"/>
          <w:sz w:val="32"/>
          <w:szCs w:val="32"/>
          <w:lang w:val="en-US" w:eastAsia="zh-CN" w:bidi="ar-SA"/>
        </w:rPr>
        <w:t>2、隧道管理。目前牛峪南坪隧道进出口、朱庄隧道已达到施工安全步距规范要求。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3、筹建处定期报送交投集团安全生产管理平台要求报送资料。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4、1月15日，筹建处组织召开邢台段2018年安全生产工作部署会暨签订2018年安全生产管理目标责任书。会议首先对交投集团1月12日召开的安全工作会议精神进行了宣贯，按照中电建项目公司要求对今冬明春会火灾防控和安全隐患大排查大整治攻坚行动工作进行了再动员、再部署。会议统一了思想，明确了各参建单位安全生产管理责任和目标，筹建处与各参建单位签订了《安全管理目标责任书》，同时内部也层层签订了责任书，确保各项安全生产管理和信访综治维稳工作落实到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5、1月30日至31日，筹建处质安科联合各总监办、总包部进行了节前消防安全和隐患进行专项检查。已将检查结果下发各单位，要求各参建单位加强冬季消防安全管理，做好24小时双人双岗值班，部署春节放假及工地留守值班工作。目前正积极整改落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6、临近年底，筹建处高度重视各标段农民工工资管理工作。筹建处召开专题会议，讨论采取一系列措施保障农民工工资的统计、公示、发放等工作。</w:t>
      </w:r>
    </w:p>
    <w:p>
      <w:pPr>
        <w:pStyle w:val="2"/>
        <w:rPr>
          <w:rFonts w:hint="eastAsia"/>
          <w:lang w:val="en-US" w:eastAsia="zh-CN"/>
        </w:rPr>
      </w:pPr>
    </w:p>
    <w:p>
      <w:pPr>
        <w:numPr>
          <w:ilvl w:val="0"/>
          <w:numId w:val="4"/>
        </w:numPr>
        <w:adjustRightInd w:val="0"/>
        <w:spacing w:beforeLines="50" w:afterLines="50" w:line="360" w:lineRule="auto"/>
        <w:jc w:val="left"/>
        <w:textAlignment w:val="baseline"/>
        <w:rPr>
          <w:rFonts w:hint="eastAsia" w:ascii="宋体" w:hAnsi="宋体" w:eastAsia="宋体" w:cs="宋体"/>
          <w:b/>
          <w:bCs/>
          <w:spacing w:val="0"/>
          <w:kern w:val="10"/>
          <w:sz w:val="32"/>
          <w:szCs w:val="32"/>
          <w:lang w:val="en-US" w:eastAsia="zh-CN" w:bidi="ar-SA"/>
        </w:rPr>
      </w:pPr>
      <w:r>
        <w:rPr>
          <w:rFonts w:hint="eastAsia" w:ascii="宋体" w:hAnsi="宋体" w:eastAsia="宋体" w:cs="宋体"/>
          <w:b/>
          <w:bCs/>
          <w:spacing w:val="0"/>
          <w:kern w:val="10"/>
          <w:sz w:val="32"/>
          <w:szCs w:val="32"/>
          <w:lang w:val="en-US" w:eastAsia="zh-CN" w:bidi="ar-SA"/>
        </w:rPr>
        <w:t>下月工作重点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1、筹建处将继续开展品质工程创建活动，加强工期施工管理，确保冬期施工质量；加强冬季施工质量及安全管控工作，对施工现场安全生产和生活区消防安全进行重点检查。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2、加强冬施项目管理力度。重点加大梁场冬期施工质量管控力度。严格按照冬施方案进行施工，不具备冬季施工条件的不允许施工，做好各项质量、安全冬施措施，确保冬施质量。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3、继续落实春节前施工安全检查，确保安全事故零发生。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4、督促施工单位做好内业资料的管理工作，做到内外业同步进行。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5、督促路面施工单位尽快完成沥青拌合站整体安装调试工作；完善基层路基防护措施，积极备料。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6、继续加强文明施工，重点加强扬尘的整治工作。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7、继续促进“平安工地建设”，监督各总监办、标段落实安全生产责任制，随着开工的逐步深入，监督、检查、落实各级责任书的签认，加强对施工专项安全方案的实施和安全生产管理制度落实，促进安全资金使用情况。</w:t>
      </w:r>
    </w:p>
    <w:p>
      <w:pPr>
        <w:pStyle w:val="2"/>
        <w:jc w:val="left"/>
        <w:rPr>
          <w:rFonts w:hint="eastAsia" w:ascii="宋体" w:hAnsi="宋体" w:eastAsia="宋体" w:cs="宋体"/>
          <w:sz w:val="32"/>
          <w:szCs w:val="32"/>
          <w:lang w:val="en-US" w:eastAsia="zh-CN"/>
        </w:rPr>
      </w:pPr>
    </w:p>
    <w:p>
      <w:pPr>
        <w:pStyle w:val="2"/>
        <w:jc w:val="left"/>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附表：各总监办试验见证统计</w:t>
      </w:r>
    </w:p>
    <w:p>
      <w:pPr>
        <w:pStyle w:val="2"/>
        <w:jc w:val="left"/>
        <w:rPr>
          <w:rFonts w:hint="eastAsia" w:ascii="宋体" w:hAnsi="宋体" w:eastAsia="宋体" w:cs="宋体"/>
          <w:sz w:val="32"/>
          <w:szCs w:val="32"/>
          <w:lang w:val="en-US" w:eastAsia="zh-CN"/>
        </w:rPr>
      </w:pPr>
    </w:p>
    <w:p>
      <w:pPr>
        <w:pStyle w:val="2"/>
        <w:jc w:val="left"/>
        <w:rPr>
          <w:rFonts w:hint="eastAsia" w:ascii="宋体" w:hAnsi="宋体" w:eastAsia="宋体" w:cs="宋体"/>
          <w:sz w:val="32"/>
          <w:szCs w:val="32"/>
          <w:lang w:val="en-US" w:eastAsia="zh-CN"/>
        </w:rPr>
      </w:pPr>
    </w:p>
    <w:p>
      <w:pPr>
        <w:pStyle w:val="2"/>
        <w:jc w:val="left"/>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 xml:space="preserve">河北省太行山高速公路邢台段筹建处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 xml:space="preserve">                      2018年1月31日</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val="0"/>
          <w:bCs/>
          <w:snapToGrid/>
          <w:color w:val="auto"/>
          <w:spacing w:val="0"/>
          <w:kern w:val="10"/>
          <w:sz w:val="32"/>
          <w:szCs w:val="32"/>
          <w:lang w:val="en-US" w:eastAsia="zh-CN" w:bidi="ar-SA"/>
        </w:rPr>
        <w:br w:type="page"/>
      </w:r>
    </w:p>
    <w:p>
      <w:pPr>
        <w:widowControl/>
        <w:jc w:val="left"/>
        <w:textAlignment w:val="center"/>
        <w:rPr>
          <w:rFonts w:hint="eastAsia" w:ascii="宋体" w:hAnsi="宋体" w:eastAsia="宋体" w:cs="宋体"/>
          <w:b w:val="0"/>
          <w:bCs/>
          <w:snapToGrid/>
          <w:color w:val="auto"/>
          <w:spacing w:val="0"/>
          <w:kern w:val="10"/>
          <w:sz w:val="32"/>
          <w:szCs w:val="32"/>
          <w:lang w:val="en-US" w:eastAsia="zh-CN" w:bidi="ar-SA"/>
        </w:rPr>
      </w:pPr>
      <w:r>
        <w:rPr>
          <w:rFonts w:hint="eastAsia" w:ascii="仿宋_GB2312" w:hAnsi="宋体" w:eastAsia="仿宋_GB2312" w:cs="仿宋_GB2312"/>
          <w:b/>
          <w:color w:val="auto"/>
          <w:sz w:val="36"/>
          <w:szCs w:val="36"/>
          <w:highlight w:val="none"/>
          <w:lang w:val="en-US" w:eastAsia="zh-CN" w:bidi="ar"/>
        </w:rPr>
        <w:t>附表：</w:t>
      </w:r>
    </w:p>
    <w:tbl>
      <w:tblPr>
        <w:tblStyle w:val="9"/>
        <w:tblpPr w:leftFromText="180" w:rightFromText="180" w:vertAnchor="text" w:horzAnchor="page" w:tblpX="934" w:tblpY="86"/>
        <w:tblOverlap w:val="never"/>
        <w:tblW w:w="10166" w:type="dxa"/>
        <w:tblInd w:w="0" w:type="dxa"/>
        <w:tblLayout w:type="fixed"/>
        <w:tblCellMar>
          <w:top w:w="15" w:type="dxa"/>
          <w:left w:w="15" w:type="dxa"/>
          <w:bottom w:w="15" w:type="dxa"/>
          <w:right w:w="15" w:type="dxa"/>
        </w:tblCellMar>
      </w:tblPr>
      <w:tblGrid>
        <w:gridCol w:w="639"/>
        <w:gridCol w:w="1065"/>
        <w:gridCol w:w="1902"/>
        <w:gridCol w:w="894"/>
        <w:gridCol w:w="954"/>
        <w:gridCol w:w="1164"/>
        <w:gridCol w:w="1237"/>
        <w:gridCol w:w="1073"/>
        <w:gridCol w:w="1238"/>
      </w:tblGrid>
      <w:tr>
        <w:tblPrEx>
          <w:tblLayout w:type="fixed"/>
          <w:tblCellMar>
            <w:top w:w="15" w:type="dxa"/>
            <w:left w:w="15" w:type="dxa"/>
            <w:bottom w:w="15" w:type="dxa"/>
            <w:right w:w="15" w:type="dxa"/>
          </w:tblCellMar>
        </w:tblPrEx>
        <w:trPr>
          <w:trHeight w:val="585" w:hRule="atLeast"/>
        </w:trPr>
        <w:tc>
          <w:tcPr>
            <w:tcW w:w="10166" w:type="dxa"/>
            <w:gridSpan w:val="9"/>
            <w:vAlign w:val="center"/>
          </w:tcPr>
          <w:p>
            <w:pPr>
              <w:widowControl/>
              <w:jc w:val="center"/>
              <w:textAlignment w:val="center"/>
              <w:rPr>
                <w:rFonts w:ascii="仿宋_GB2312" w:hAnsi="宋体" w:eastAsia="仿宋_GB2312" w:cs="仿宋_GB2312"/>
                <w:b/>
                <w:color w:val="000000"/>
                <w:sz w:val="40"/>
                <w:szCs w:val="40"/>
              </w:rPr>
            </w:pPr>
            <w:r>
              <w:rPr>
                <w:rFonts w:hint="eastAsia" w:ascii="仿宋_GB2312" w:hAnsi="宋体" w:eastAsia="仿宋_GB2312" w:cs="仿宋_GB2312"/>
                <w:b/>
                <w:color w:val="000000"/>
                <w:kern w:val="0"/>
                <w:sz w:val="28"/>
                <w:szCs w:val="28"/>
                <w:lang w:bidi="ar"/>
              </w:rPr>
              <w:t>太行山高速邢台段XTJL1总监办201</w:t>
            </w:r>
            <w:r>
              <w:rPr>
                <w:rFonts w:hint="eastAsia" w:ascii="仿宋_GB2312" w:hAnsi="宋体" w:eastAsia="仿宋_GB2312" w:cs="仿宋_GB2312"/>
                <w:b/>
                <w:color w:val="000000"/>
                <w:kern w:val="0"/>
                <w:sz w:val="28"/>
                <w:szCs w:val="28"/>
                <w:lang w:val="en-US" w:eastAsia="zh-CN" w:bidi="ar"/>
              </w:rPr>
              <w:t>8</w:t>
            </w:r>
            <w:r>
              <w:rPr>
                <w:rFonts w:hint="eastAsia" w:ascii="仿宋_GB2312" w:hAnsi="宋体" w:eastAsia="仿宋_GB2312" w:cs="仿宋_GB2312"/>
                <w:b/>
                <w:color w:val="000000"/>
                <w:kern w:val="0"/>
                <w:sz w:val="28"/>
                <w:szCs w:val="28"/>
                <w:lang w:bidi="ar"/>
              </w:rPr>
              <w:t>年</w:t>
            </w:r>
            <w:r>
              <w:rPr>
                <w:rFonts w:hint="eastAsia" w:ascii="仿宋_GB2312" w:hAnsi="宋体" w:eastAsia="仿宋_GB2312" w:cs="仿宋_GB2312"/>
                <w:b/>
                <w:color w:val="000000"/>
                <w:kern w:val="0"/>
                <w:sz w:val="28"/>
                <w:szCs w:val="28"/>
                <w:lang w:val="en-US" w:eastAsia="zh-CN" w:bidi="ar"/>
              </w:rPr>
              <w:t>0</w:t>
            </w:r>
            <w:r>
              <w:rPr>
                <w:rFonts w:hint="eastAsia" w:ascii="仿宋_GB2312" w:hAnsi="宋体" w:eastAsia="仿宋_GB2312" w:cs="仿宋_GB2312"/>
                <w:b/>
                <w:color w:val="000000"/>
                <w:kern w:val="0"/>
                <w:sz w:val="28"/>
                <w:szCs w:val="28"/>
                <w:lang w:bidi="ar"/>
              </w:rPr>
              <w:t>1月试验检测汇总表（一）</w:t>
            </w:r>
          </w:p>
        </w:tc>
      </w:tr>
      <w:tr>
        <w:tblPrEx>
          <w:tblLayout w:type="fixed"/>
          <w:tblCellMar>
            <w:top w:w="15" w:type="dxa"/>
            <w:left w:w="15" w:type="dxa"/>
            <w:bottom w:w="15" w:type="dxa"/>
            <w:right w:w="15" w:type="dxa"/>
          </w:tblCellMar>
        </w:tblPrEx>
        <w:trPr>
          <w:trHeight w:val="350" w:hRule="atLeast"/>
        </w:trPr>
        <w:tc>
          <w:tcPr>
            <w:tcW w:w="10166" w:type="dxa"/>
            <w:gridSpan w:val="9"/>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 xml:space="preserve">单位名称：   河北省交通建设监理咨询有限公司                           合同号： XTJL1              </w:t>
            </w:r>
          </w:p>
        </w:tc>
      </w:tr>
      <w:tr>
        <w:tblPrEx>
          <w:tblLayout w:type="fixed"/>
          <w:tblCellMar>
            <w:top w:w="15" w:type="dxa"/>
            <w:left w:w="15" w:type="dxa"/>
            <w:bottom w:w="15" w:type="dxa"/>
            <w:right w:w="15" w:type="dxa"/>
          </w:tblCellMar>
        </w:tblPrEx>
        <w:trPr>
          <w:trHeight w:val="380" w:hRule="atLeast"/>
        </w:trPr>
        <w:tc>
          <w:tcPr>
            <w:tcW w:w="3606"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28"/>
                <w:szCs w:val="28"/>
                <w:lang w:bidi="ar"/>
              </w:rPr>
            </w:pPr>
            <w:r>
              <w:rPr>
                <w:rFonts w:hint="eastAsia" w:ascii="仿宋_GB2312" w:hAnsi="宋体" w:eastAsia="仿宋_GB2312" w:cs="仿宋_GB2312"/>
                <w:b/>
                <w:i w:val="0"/>
                <w:color w:val="000000"/>
                <w:kern w:val="0"/>
                <w:sz w:val="32"/>
                <w:szCs w:val="32"/>
                <w:u w:val="none"/>
                <w:lang w:val="en-US" w:eastAsia="zh-CN" w:bidi="ar"/>
              </w:rPr>
              <w:t>试验项目名称</w:t>
            </w:r>
          </w:p>
        </w:tc>
        <w:tc>
          <w:tcPr>
            <w:tcW w:w="301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24"/>
                <w:szCs w:val="24"/>
                <w:u w:val="none"/>
                <w:lang w:val="en-US" w:eastAsia="zh-CN" w:bidi="ar"/>
              </w:rPr>
              <w:t>本月试验情况</w:t>
            </w:r>
          </w:p>
        </w:tc>
        <w:tc>
          <w:tcPr>
            <w:tcW w:w="35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24"/>
                <w:szCs w:val="24"/>
                <w:u w:val="none"/>
                <w:lang w:val="en-US" w:eastAsia="zh-CN" w:bidi="ar"/>
              </w:rPr>
              <w:t>到本月累计试验情况</w:t>
            </w:r>
          </w:p>
        </w:tc>
      </w:tr>
      <w:tr>
        <w:tblPrEx>
          <w:tblLayout w:type="fixed"/>
          <w:tblCellMar>
            <w:top w:w="15" w:type="dxa"/>
            <w:left w:w="15" w:type="dxa"/>
            <w:bottom w:w="15" w:type="dxa"/>
            <w:right w:w="15" w:type="dxa"/>
          </w:tblCellMar>
        </w:tblPrEx>
        <w:trPr>
          <w:trHeight w:val="539" w:hRule="atLeast"/>
        </w:trPr>
        <w:tc>
          <w:tcPr>
            <w:tcW w:w="360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kern w:val="0"/>
                <w:sz w:val="28"/>
                <w:szCs w:val="28"/>
                <w:lang w:bidi="ar"/>
              </w:rPr>
            </w:pP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18"/>
                <w:szCs w:val="18"/>
                <w:u w:val="none"/>
                <w:lang w:val="en-US" w:eastAsia="zh-CN" w:bidi="ar"/>
              </w:rPr>
              <w:t>检测次数</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18"/>
                <w:szCs w:val="18"/>
                <w:u w:val="none"/>
                <w:lang w:val="en-US" w:eastAsia="zh-CN" w:bidi="ar"/>
              </w:rPr>
              <w:t>合格次数</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18"/>
                <w:szCs w:val="18"/>
                <w:u w:val="none"/>
                <w:lang w:val="en-US" w:eastAsia="zh-CN" w:bidi="ar"/>
              </w:rPr>
              <w:t>合格率（%）</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18"/>
                <w:szCs w:val="18"/>
                <w:u w:val="none"/>
                <w:lang w:val="en-US" w:eastAsia="zh-CN" w:bidi="ar"/>
              </w:rPr>
              <w:t>累计检测次数</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18"/>
                <w:szCs w:val="18"/>
                <w:u w:val="none"/>
                <w:lang w:val="en-US" w:eastAsia="zh-CN" w:bidi="ar"/>
              </w:rPr>
              <w:t>累计合格次数</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i w:val="0"/>
                <w:color w:val="000000"/>
                <w:kern w:val="0"/>
                <w:sz w:val="18"/>
                <w:szCs w:val="18"/>
                <w:u w:val="none"/>
                <w:lang w:val="en-US" w:eastAsia="zh-CN" w:bidi="ar"/>
              </w:rPr>
              <w:t>合格率（%）</w:t>
            </w:r>
          </w:p>
        </w:tc>
      </w:tr>
      <w:tr>
        <w:tblPrEx>
          <w:tblLayout w:type="fixed"/>
          <w:tblCellMar>
            <w:top w:w="15" w:type="dxa"/>
            <w:left w:w="15" w:type="dxa"/>
            <w:bottom w:w="15" w:type="dxa"/>
            <w:right w:w="15" w:type="dxa"/>
          </w:tblCellMar>
        </w:tblPrEx>
        <w:trPr>
          <w:trHeight w:val="312" w:hRule="atLeast"/>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i w:val="0"/>
                <w:color w:val="000000"/>
                <w:kern w:val="0"/>
                <w:sz w:val="24"/>
                <w:szCs w:val="24"/>
                <w:u w:val="none"/>
                <w:lang w:val="en-US" w:eastAsia="zh-CN" w:bidi="ar"/>
              </w:rPr>
              <w:t>原          材            料             试    验</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 xml:space="preserve"> 土工试验</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标准击实</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21</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液塑限</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17</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17</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颗粒分析</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CBR</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水泥品质</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13</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76</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76</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钢筋</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钢筋原材</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269</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269</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焊件及可焊性</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253</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252</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99.6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粗            集                料</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单级配筛分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13</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13</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121</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119</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98.3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混合级配筛分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55</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55</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55</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55</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压碎值</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42</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42</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吸水率</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82</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82</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针片状</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12</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116</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115</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99.1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107</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103</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96.3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99</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99</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细             集             料</w:t>
            </w: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筛分</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45</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40</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88.9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14</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43</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97.7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43</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43</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石灰品质</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石料抗压强度</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粉煤灰</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50.0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33</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97.1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减水剂</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8</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8</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restart"/>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i w:val="0"/>
                <w:color w:val="000000"/>
                <w:kern w:val="0"/>
                <w:sz w:val="24"/>
                <w:szCs w:val="24"/>
                <w:u w:val="none"/>
                <w:lang w:val="en-US" w:eastAsia="zh-CN" w:bidi="ar"/>
              </w:rPr>
              <w:t>配           合           比</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水泥混凝土配合比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29</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29</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孔道压浆配合比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37" w:hRule="atLeast"/>
        </w:trPr>
        <w:tc>
          <w:tcPr>
            <w:tcW w:w="639"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级配碎石配合比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水泥稳定级配碎石配合比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沥青混凝土配合比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r>
      <w:tr>
        <w:tblPrEx>
          <w:tblLayout w:type="fixed"/>
          <w:tblCellMar>
            <w:top w:w="15" w:type="dxa"/>
            <w:left w:w="15" w:type="dxa"/>
            <w:bottom w:w="15" w:type="dxa"/>
            <w:right w:w="15" w:type="dxa"/>
          </w:tblCellMar>
        </w:tblPrEx>
        <w:trPr>
          <w:trHeight w:val="312" w:hRule="atLeast"/>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i w:val="0"/>
                <w:color w:val="000000"/>
                <w:kern w:val="0"/>
                <w:sz w:val="22"/>
                <w:szCs w:val="22"/>
                <w:u w:val="none"/>
                <w:lang w:val="en-US" w:eastAsia="zh-CN" w:bidi="ar"/>
              </w:rPr>
              <w:t>水泥砂浆配合比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color w:val="000000"/>
                <w:sz w:val="18"/>
                <w:szCs w:val="18"/>
              </w:rPr>
            </w:pPr>
            <w:r>
              <w:rPr>
                <w:rFonts w:hint="eastAsia" w:ascii="宋体" w:hAnsi="宋体" w:eastAsia="宋体" w:cs="宋体"/>
                <w:i w:val="0"/>
                <w:color w:val="000000"/>
                <w:kern w:val="0"/>
                <w:sz w:val="18"/>
                <w:szCs w:val="18"/>
                <w:u w:val="none"/>
                <w:lang w:val="en-US" w:eastAsia="zh-CN" w:bidi="ar"/>
              </w:rPr>
              <w:t xml:space="preserve">100.0 </w:t>
            </w:r>
          </w:p>
        </w:tc>
      </w:tr>
    </w:tbl>
    <w:p>
      <w:pPr>
        <w:widowControl/>
        <w:jc w:val="both"/>
        <w:textAlignment w:val="cente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tbl>
      <w:tblPr>
        <w:tblStyle w:val="9"/>
        <w:tblW w:w="10164" w:type="dxa"/>
        <w:jc w:val="center"/>
        <w:tblInd w:w="0" w:type="dxa"/>
        <w:tblLayout w:type="fixed"/>
        <w:tblCellMar>
          <w:top w:w="15" w:type="dxa"/>
          <w:left w:w="15" w:type="dxa"/>
          <w:bottom w:w="15" w:type="dxa"/>
          <w:right w:w="15" w:type="dxa"/>
        </w:tblCellMar>
      </w:tblPr>
      <w:tblGrid>
        <w:gridCol w:w="10164"/>
      </w:tblGrid>
      <w:tr>
        <w:tblPrEx>
          <w:tblLayout w:type="fixed"/>
          <w:tblCellMar>
            <w:top w:w="15" w:type="dxa"/>
            <w:left w:w="15" w:type="dxa"/>
            <w:bottom w:w="15" w:type="dxa"/>
            <w:right w:w="15" w:type="dxa"/>
          </w:tblCellMar>
        </w:tblPrEx>
        <w:trPr>
          <w:trHeight w:val="564" w:hRule="atLeast"/>
          <w:jc w:val="center"/>
        </w:trPr>
        <w:tc>
          <w:tcPr>
            <w:tcW w:w="10164" w:type="dxa"/>
            <w:vAlign w:val="center"/>
          </w:tcPr>
          <w:p>
            <w:pPr>
              <w:widowControl/>
              <w:jc w:val="center"/>
              <w:textAlignment w:val="center"/>
              <w:rPr>
                <w:rFonts w:ascii="仿宋_GB2312" w:hAnsi="宋体" w:eastAsia="仿宋_GB2312" w:cs="仿宋_GB2312"/>
                <w:b/>
                <w:color w:val="000000"/>
                <w:sz w:val="40"/>
                <w:szCs w:val="40"/>
              </w:rPr>
            </w:pPr>
            <w:r>
              <w:rPr>
                <w:rFonts w:hint="eastAsia" w:ascii="仿宋_GB2312" w:hAnsi="宋体" w:eastAsia="仿宋_GB2312" w:cs="仿宋_GB2312"/>
                <w:b/>
                <w:color w:val="000000"/>
                <w:kern w:val="0"/>
                <w:sz w:val="28"/>
                <w:szCs w:val="28"/>
                <w:lang w:bidi="ar"/>
              </w:rPr>
              <w:t>太行山高速邢台段XTJL1总监办201</w:t>
            </w:r>
            <w:r>
              <w:rPr>
                <w:rFonts w:hint="eastAsia" w:ascii="仿宋_GB2312" w:hAnsi="宋体" w:eastAsia="仿宋_GB2312" w:cs="仿宋_GB2312"/>
                <w:b/>
                <w:color w:val="000000"/>
                <w:kern w:val="0"/>
                <w:sz w:val="28"/>
                <w:szCs w:val="28"/>
                <w:lang w:val="en-US" w:eastAsia="zh-CN" w:bidi="ar"/>
              </w:rPr>
              <w:t>8</w:t>
            </w:r>
            <w:r>
              <w:rPr>
                <w:rFonts w:hint="eastAsia" w:ascii="仿宋_GB2312" w:hAnsi="宋体" w:eastAsia="仿宋_GB2312" w:cs="仿宋_GB2312"/>
                <w:b/>
                <w:color w:val="000000"/>
                <w:kern w:val="0"/>
                <w:sz w:val="28"/>
                <w:szCs w:val="28"/>
                <w:lang w:bidi="ar"/>
              </w:rPr>
              <w:t>年</w:t>
            </w:r>
            <w:r>
              <w:rPr>
                <w:rFonts w:hint="eastAsia" w:ascii="仿宋_GB2312" w:hAnsi="宋体" w:eastAsia="仿宋_GB2312" w:cs="仿宋_GB2312"/>
                <w:b/>
                <w:color w:val="000000"/>
                <w:kern w:val="0"/>
                <w:sz w:val="28"/>
                <w:szCs w:val="28"/>
                <w:lang w:val="en-US" w:eastAsia="zh-CN" w:bidi="ar"/>
              </w:rPr>
              <w:t>01</w:t>
            </w:r>
            <w:r>
              <w:rPr>
                <w:rFonts w:hint="eastAsia" w:ascii="仿宋_GB2312" w:hAnsi="宋体" w:eastAsia="仿宋_GB2312" w:cs="仿宋_GB2312"/>
                <w:b/>
                <w:color w:val="000000"/>
                <w:kern w:val="0"/>
                <w:sz w:val="28"/>
                <w:szCs w:val="28"/>
                <w:lang w:bidi="ar"/>
              </w:rPr>
              <w:t>月试验检测汇总表（二）</w:t>
            </w:r>
          </w:p>
        </w:tc>
      </w:tr>
      <w:tr>
        <w:tblPrEx>
          <w:tblLayout w:type="fixed"/>
          <w:tblCellMar>
            <w:top w:w="15" w:type="dxa"/>
            <w:left w:w="15" w:type="dxa"/>
            <w:bottom w:w="15" w:type="dxa"/>
            <w:right w:w="15" w:type="dxa"/>
          </w:tblCellMar>
        </w:tblPrEx>
        <w:trPr>
          <w:trHeight w:val="425" w:hRule="atLeast"/>
          <w:jc w:val="center"/>
        </w:trPr>
        <w:tc>
          <w:tcPr>
            <w:tcW w:w="10164" w:type="dxa"/>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22"/>
              </w:rPr>
            </w:pPr>
            <w:r>
              <w:rPr>
                <w:rFonts w:hint="eastAsia" w:ascii="宋体" w:hAnsi="宋体" w:cs="宋体"/>
                <w:color w:val="000000"/>
                <w:kern w:val="0"/>
                <w:sz w:val="22"/>
                <w:lang w:bidi="ar"/>
              </w:rPr>
              <w:t xml:space="preserve">单位名称：河北交通建设监理咨询有限公司                                合同号： XTJL1       </w:t>
            </w:r>
          </w:p>
        </w:tc>
      </w:tr>
      <w:tr>
        <w:tblPrEx>
          <w:tblLayout w:type="fixed"/>
          <w:tblCellMar>
            <w:top w:w="15" w:type="dxa"/>
            <w:left w:w="15" w:type="dxa"/>
            <w:bottom w:w="15" w:type="dxa"/>
            <w:right w:w="15" w:type="dxa"/>
          </w:tblCellMar>
        </w:tblPrEx>
        <w:trPr>
          <w:trHeight w:val="375" w:hRule="atLeast"/>
          <w:jc w:val="center"/>
        </w:trPr>
        <w:tc>
          <w:tcPr>
            <w:tcW w:w="10164" w:type="dxa"/>
            <w:tcBorders>
              <w:top w:val="single" w:color="000000" w:sz="4" w:space="0"/>
              <w:left w:val="single" w:color="000000" w:sz="4" w:space="0"/>
              <w:right w:val="single" w:color="000000" w:sz="4" w:space="0"/>
            </w:tcBorders>
            <w:vAlign w:val="bottom"/>
          </w:tcPr>
          <w:tbl>
            <w:tblPr>
              <w:tblStyle w:val="9"/>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5"/>
              <w:gridCol w:w="975"/>
              <w:gridCol w:w="1740"/>
              <w:gridCol w:w="900"/>
              <w:gridCol w:w="960"/>
              <w:gridCol w:w="1170"/>
              <w:gridCol w:w="1245"/>
              <w:gridCol w:w="108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 xml:space="preserve">现          场                 </w:t>
                  </w:r>
                </w:p>
              </w:tc>
              <w:tc>
                <w:tcPr>
                  <w:tcW w:w="2715"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水泥混凝土强度试验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水凝混凝土抗折强度试验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水泥砂浆强度试验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水泥净浆强度试验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无侧限抗压强度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压实度</w:t>
                  </w:r>
                </w:p>
              </w:tc>
              <w:tc>
                <w:tcPr>
                  <w:tcW w:w="90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18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灰剂量</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结构物保护层厚度</w:t>
                  </w:r>
                </w:p>
              </w:tc>
              <w:tc>
                <w:tcPr>
                  <w:tcW w:w="174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bidi="ar"/>
                    </w:rPr>
                    <w:t>上部构造</w:t>
                  </w:r>
                </w:p>
              </w:tc>
              <w:tc>
                <w:tcPr>
                  <w:tcW w:w="90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96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17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94.5 </w:t>
                  </w:r>
                </w:p>
              </w:tc>
              <w:tc>
                <w:tcPr>
                  <w:tcW w:w="124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2632</w:t>
                  </w:r>
                </w:p>
              </w:tc>
              <w:tc>
                <w:tcPr>
                  <w:tcW w:w="108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w:t>
                  </w:r>
                </w:p>
              </w:tc>
              <w:tc>
                <w:tcPr>
                  <w:tcW w:w="118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975" w:type="dxa"/>
                  <w:vMerge w:val="continue"/>
                  <w:tcBorders>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2"/>
                      <w:szCs w:val="22"/>
                      <w:u w:val="none"/>
                    </w:rPr>
                  </w:pPr>
                </w:p>
              </w:tc>
              <w:tc>
                <w:tcPr>
                  <w:tcW w:w="1740" w:type="dxa"/>
                  <w:tcBorders>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2"/>
                      <w:szCs w:val="22"/>
                      <w:u w:val="none"/>
                      <w:lang w:val="en-US" w:eastAsia="zh-CN" w:bidi="ar"/>
                    </w:rPr>
                    <w:t>下部构造</w:t>
                  </w:r>
                </w:p>
              </w:tc>
              <w:tc>
                <w:tcPr>
                  <w:tcW w:w="90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1588</w:t>
                  </w:r>
                </w:p>
              </w:tc>
              <w:tc>
                <w:tcPr>
                  <w:tcW w:w="108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782</w:t>
                  </w:r>
                </w:p>
              </w:tc>
              <w:tc>
                <w:tcPr>
                  <w:tcW w:w="118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地基承载力试验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 xml:space="preserve">外  委          试          验       </w:t>
                  </w: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粉煤灰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高炉矿渣粉</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压浆剂</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粗集料</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细集料</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外加剂</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桥梁支座</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钢绞线</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锚具</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夹片</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土工格栅</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土工格室</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土工布</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w:t>
                  </w:r>
                </w:p>
              </w:tc>
              <w:tc>
                <w:tcPr>
                  <w:tcW w:w="90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塑料波纹管</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钢波纹管涵原材</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乳化沥青</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水泥混凝土电通量试验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both"/>
                    <w:rPr>
                      <w:rFonts w:hint="eastAsia" w:ascii="仿宋_GB2312" w:hAnsi="宋体" w:eastAsia="仿宋_GB2312" w:cs="仿宋_GB2312"/>
                      <w:b/>
                      <w:i w:val="0"/>
                      <w:color w:val="000000"/>
                      <w:sz w:val="24"/>
                      <w:szCs w:val="24"/>
                      <w:u w:val="none"/>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混凝土抗冻试件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r>
          </w:tbl>
          <w:p>
            <w:pPr>
              <w:widowControl/>
              <w:jc w:val="left"/>
              <w:textAlignment w:val="bottom"/>
              <w:rPr>
                <w:rFonts w:hint="eastAsia" w:ascii="仿宋_GB2312" w:hAnsi="宋体" w:eastAsia="仿宋_GB2312" w:cs="仿宋_GB2312"/>
                <w:color w:val="000000"/>
                <w:sz w:val="18"/>
                <w:szCs w:val="18"/>
              </w:rPr>
            </w:pPr>
          </w:p>
        </w:tc>
      </w:tr>
    </w:tbl>
    <w:p>
      <w:pPr>
        <w:pStyle w:val="2"/>
        <w:rPr>
          <w:rFonts w:hint="eastAsia"/>
          <w:lang w:val="en-US" w:eastAsia="zh-CN"/>
        </w:rPr>
      </w:pPr>
      <w:r>
        <w:rPr>
          <w:rFonts w:hint="eastAsia"/>
          <w:lang w:val="en-US" w:eastAsia="zh-CN"/>
        </w:rPr>
        <w:br w:type="page"/>
      </w:r>
    </w:p>
    <w:tbl>
      <w:tblPr>
        <w:tblStyle w:val="9"/>
        <w:tblpPr w:leftFromText="180" w:rightFromText="180" w:vertAnchor="text" w:horzAnchor="page" w:tblpXSpec="center" w:tblpY="86"/>
        <w:tblOverlap w:val="never"/>
        <w:tblW w:w="9666" w:type="dxa"/>
        <w:jc w:val="center"/>
        <w:tblInd w:w="319" w:type="dxa"/>
        <w:tblLayout w:type="fixed"/>
        <w:tblCellMar>
          <w:top w:w="15" w:type="dxa"/>
          <w:left w:w="15" w:type="dxa"/>
          <w:bottom w:w="15" w:type="dxa"/>
          <w:right w:w="15" w:type="dxa"/>
        </w:tblCellMar>
      </w:tblPr>
      <w:tblGrid>
        <w:gridCol w:w="263"/>
        <w:gridCol w:w="567"/>
        <w:gridCol w:w="2457"/>
        <w:gridCol w:w="894"/>
        <w:gridCol w:w="954"/>
        <w:gridCol w:w="1164"/>
        <w:gridCol w:w="1237"/>
        <w:gridCol w:w="1073"/>
        <w:gridCol w:w="1057"/>
      </w:tblGrid>
      <w:tr>
        <w:tblPrEx>
          <w:tblLayout w:type="fixed"/>
          <w:tblCellMar>
            <w:top w:w="15" w:type="dxa"/>
            <w:left w:w="15" w:type="dxa"/>
            <w:bottom w:w="15" w:type="dxa"/>
            <w:right w:w="15" w:type="dxa"/>
          </w:tblCellMar>
        </w:tblPrEx>
        <w:trPr>
          <w:trHeight w:val="585" w:hRule="atLeast"/>
          <w:jc w:val="center"/>
        </w:trPr>
        <w:tc>
          <w:tcPr>
            <w:tcW w:w="9666" w:type="dxa"/>
            <w:gridSpan w:val="9"/>
            <w:vAlign w:val="center"/>
          </w:tcPr>
          <w:p>
            <w:pPr>
              <w:widowControl/>
              <w:jc w:val="center"/>
              <w:textAlignment w:val="center"/>
              <w:rPr>
                <w:rFonts w:ascii="仿宋_GB2312" w:hAnsi="宋体" w:eastAsia="仿宋_GB2312" w:cs="仿宋_GB2312"/>
                <w:b/>
                <w:color w:val="auto"/>
                <w:sz w:val="28"/>
                <w:szCs w:val="28"/>
                <w:highlight w:val="none"/>
                <w:lang w:bidi="ar"/>
              </w:rPr>
            </w:pPr>
            <w:r>
              <w:rPr>
                <w:rFonts w:hint="eastAsia" w:ascii="仿宋_GB2312" w:hAnsi="宋体" w:eastAsia="仿宋_GB2312" w:cs="仿宋_GB2312"/>
                <w:b/>
                <w:color w:val="auto"/>
                <w:sz w:val="28"/>
                <w:szCs w:val="28"/>
                <w:highlight w:val="none"/>
                <w:lang w:bidi="ar"/>
              </w:rPr>
              <w:t>太行山高速邢台段XTJL2总监办201</w:t>
            </w:r>
            <w:r>
              <w:rPr>
                <w:rFonts w:hint="eastAsia" w:ascii="仿宋_GB2312" w:hAnsi="宋体" w:eastAsia="仿宋_GB2312" w:cs="仿宋_GB2312"/>
                <w:b/>
                <w:color w:val="auto"/>
                <w:sz w:val="28"/>
                <w:szCs w:val="28"/>
                <w:highlight w:val="none"/>
                <w:lang w:val="en-US" w:eastAsia="zh-CN" w:bidi="ar"/>
              </w:rPr>
              <w:t>8</w:t>
            </w:r>
            <w:r>
              <w:rPr>
                <w:rFonts w:hint="eastAsia" w:ascii="仿宋_GB2312" w:hAnsi="宋体" w:eastAsia="仿宋_GB2312" w:cs="仿宋_GB2312"/>
                <w:b/>
                <w:color w:val="auto"/>
                <w:sz w:val="28"/>
                <w:szCs w:val="28"/>
                <w:highlight w:val="none"/>
                <w:lang w:bidi="ar"/>
              </w:rPr>
              <w:t>年1月试验检测汇总表（一）</w:t>
            </w:r>
          </w:p>
        </w:tc>
      </w:tr>
      <w:tr>
        <w:tblPrEx>
          <w:tblLayout w:type="fixed"/>
          <w:tblCellMar>
            <w:top w:w="15" w:type="dxa"/>
            <w:left w:w="15" w:type="dxa"/>
            <w:bottom w:w="15" w:type="dxa"/>
            <w:right w:w="15" w:type="dxa"/>
          </w:tblCellMar>
        </w:tblPrEx>
        <w:trPr>
          <w:trHeight w:val="350" w:hRule="atLeast"/>
          <w:jc w:val="center"/>
        </w:trPr>
        <w:tc>
          <w:tcPr>
            <w:tcW w:w="9666" w:type="dxa"/>
            <w:gridSpan w:val="9"/>
            <w:tcBorders>
              <w:bottom w:val="single" w:color="000000" w:sz="4" w:space="0"/>
            </w:tcBorders>
            <w:vAlign w:val="center"/>
          </w:tcPr>
          <w:p>
            <w:pPr>
              <w:widowControl/>
              <w:jc w:val="left"/>
              <w:textAlignment w:val="center"/>
              <w:rPr>
                <w:rFonts w:hint="eastAsia" w:ascii="仿宋_GB2312" w:hAnsi="宋体" w:eastAsia="仿宋_GB2312" w:cs="仿宋_GB2312"/>
                <w:color w:val="auto"/>
                <w:sz w:val="22"/>
                <w:highlight w:val="none"/>
              </w:rPr>
            </w:pPr>
            <w:r>
              <w:rPr>
                <w:rFonts w:hint="eastAsia" w:ascii="仿宋_GB2312" w:hAnsi="宋体" w:eastAsia="仿宋_GB2312" w:cs="仿宋_GB2312"/>
                <w:color w:val="auto"/>
                <w:sz w:val="22"/>
                <w:highlight w:val="none"/>
                <w:lang w:bidi="ar"/>
              </w:rPr>
              <w:t xml:space="preserve">单位名称：北京中交安通工程技术咨询有限公司                           合同号： XTJL2              </w:t>
            </w:r>
          </w:p>
        </w:tc>
      </w:tr>
      <w:tr>
        <w:tblPrEx>
          <w:tblLayout w:type="fixed"/>
          <w:tblCellMar>
            <w:top w:w="15" w:type="dxa"/>
            <w:left w:w="15" w:type="dxa"/>
            <w:bottom w:w="15" w:type="dxa"/>
            <w:right w:w="15" w:type="dxa"/>
          </w:tblCellMar>
        </w:tblPrEx>
        <w:trPr>
          <w:trHeight w:val="380" w:hRule="atLeast"/>
          <w:jc w:val="center"/>
        </w:trPr>
        <w:tc>
          <w:tcPr>
            <w:tcW w:w="3287"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28"/>
                <w:szCs w:val="28"/>
                <w:highlight w:val="none"/>
                <w:lang w:bidi="ar"/>
              </w:rPr>
            </w:pPr>
            <w:r>
              <w:rPr>
                <w:rFonts w:hint="eastAsia" w:ascii="仿宋_GB2312" w:hAnsi="宋体" w:eastAsia="仿宋_GB2312" w:cs="仿宋_GB2312"/>
                <w:b/>
                <w:color w:val="auto"/>
                <w:sz w:val="18"/>
                <w:szCs w:val="18"/>
                <w:highlight w:val="none"/>
                <w:lang w:bidi="ar"/>
              </w:rPr>
              <w:t>试验项目名称</w:t>
            </w:r>
          </w:p>
        </w:tc>
        <w:tc>
          <w:tcPr>
            <w:tcW w:w="30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本月试验情况</w:t>
            </w:r>
          </w:p>
        </w:tc>
        <w:tc>
          <w:tcPr>
            <w:tcW w:w="33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到本月累计试验情况</w:t>
            </w:r>
          </w:p>
        </w:tc>
      </w:tr>
      <w:tr>
        <w:tblPrEx>
          <w:tblLayout w:type="fixed"/>
          <w:tblCellMar>
            <w:top w:w="15" w:type="dxa"/>
            <w:left w:w="15" w:type="dxa"/>
            <w:bottom w:w="15" w:type="dxa"/>
            <w:right w:w="15" w:type="dxa"/>
          </w:tblCellMar>
        </w:tblPrEx>
        <w:trPr>
          <w:trHeight w:val="539" w:hRule="atLeast"/>
          <w:jc w:val="center"/>
        </w:trPr>
        <w:tc>
          <w:tcPr>
            <w:tcW w:w="3287"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28"/>
                <w:szCs w:val="28"/>
                <w:highlight w:val="none"/>
                <w:lang w:bidi="ar"/>
              </w:rPr>
            </w:pP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检测次数</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合格次数</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合格率（%）</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累计检测次数</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累计合格</w:t>
            </w:r>
          </w:p>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次数</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合格率（%）</w:t>
            </w:r>
          </w:p>
        </w:tc>
      </w:tr>
      <w:tr>
        <w:tblPrEx>
          <w:tblLayout w:type="fixed"/>
          <w:tblCellMar>
            <w:top w:w="15" w:type="dxa"/>
            <w:left w:w="15" w:type="dxa"/>
            <w:bottom w:w="15" w:type="dxa"/>
            <w:right w:w="15" w:type="dxa"/>
          </w:tblCellMar>
        </w:tblPrEx>
        <w:trPr>
          <w:trHeight w:val="312" w:hRule="atLeast"/>
          <w:jc w:val="center"/>
        </w:trPr>
        <w:tc>
          <w:tcPr>
            <w:tcW w:w="2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rPr>
            </w:pPr>
            <w:r>
              <w:rPr>
                <w:rFonts w:hint="eastAsia" w:ascii="仿宋_GB2312" w:hAnsi="宋体" w:eastAsia="仿宋_GB2312" w:cs="仿宋_GB2312"/>
                <w:b/>
                <w:color w:val="auto"/>
                <w:sz w:val="18"/>
                <w:szCs w:val="18"/>
                <w:highlight w:val="none"/>
                <w:lang w:bidi="ar"/>
              </w:rPr>
              <w:t>原          材            料             试    验</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土工试验</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标准击实</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液塑限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颗粒分析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CBR</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水泥品质</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szCs w:val="21"/>
              </w:rPr>
              <w:t>4</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szCs w:val="21"/>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69</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69</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钢筋</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钢筋原材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312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312</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焊件及可焊性</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99</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97.1</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粗            集                料</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单级配筛分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18</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245</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245</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混合级配筛分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12</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138</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138</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12</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193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193</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压碎值</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90</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97.8</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吸水率</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12</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12</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194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194</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针片状</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18</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259</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259</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18</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261</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257</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98.5</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18</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257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257</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细             集             料</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92</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94.8</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33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33</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95</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97.9</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auto"/>
                <w:sz w:val="18"/>
                <w:szCs w:val="18"/>
                <w:highlight w:val="none"/>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95</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97.9</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石灰品质</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石料抗压强度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粉煤灰</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47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47</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矿渣粉</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减水剂</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restart"/>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rPr>
            </w:pPr>
            <w:r>
              <w:rPr>
                <w:rFonts w:hint="eastAsia" w:ascii="仿宋_GB2312" w:hAnsi="宋体" w:eastAsia="仿宋_GB2312" w:cs="仿宋_GB2312"/>
                <w:b/>
                <w:color w:val="auto"/>
                <w:sz w:val="18"/>
                <w:szCs w:val="18"/>
                <w:highlight w:val="none"/>
                <w:lang w:bidi="ar"/>
              </w:rPr>
              <w:t>配           合           比</w:t>
            </w: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水泥混凝土配合比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40</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40</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孔道压浆配合比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auto"/>
                <w:sz w:val="18"/>
                <w:szCs w:val="18"/>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水泥砂浆配合比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Layout w:type="fixed"/>
          <w:tblCellMar>
            <w:top w:w="15" w:type="dxa"/>
            <w:left w:w="15" w:type="dxa"/>
            <w:bottom w:w="15" w:type="dxa"/>
            <w:right w:w="15" w:type="dxa"/>
          </w:tblCellMar>
        </w:tblPrEx>
        <w:trPr>
          <w:trHeight w:val="312" w:hRule="atLeast"/>
          <w:jc w:val="center"/>
        </w:trPr>
        <w:tc>
          <w:tcPr>
            <w:tcW w:w="2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现</w:t>
            </w:r>
          </w:p>
          <w:p>
            <w:pPr>
              <w:widowControl/>
              <w:jc w:val="center"/>
              <w:textAlignment w:val="center"/>
              <w:rPr>
                <w:rFonts w:hint="eastAsia" w:ascii="仿宋_GB2312" w:hAnsi="宋体" w:eastAsia="仿宋_GB2312" w:cs="仿宋_GB2312"/>
                <w:b/>
                <w:color w:val="auto"/>
                <w:sz w:val="18"/>
                <w:szCs w:val="18"/>
                <w:highlight w:val="none"/>
              </w:rPr>
            </w:pPr>
            <w:r>
              <w:rPr>
                <w:rFonts w:hint="eastAsia" w:ascii="仿宋_GB2312" w:hAnsi="宋体" w:eastAsia="仿宋_GB2312" w:cs="仿宋_GB2312"/>
                <w:b/>
                <w:color w:val="auto"/>
                <w:sz w:val="18"/>
                <w:szCs w:val="18"/>
                <w:highlight w:val="none"/>
                <w:lang w:bidi="ar"/>
              </w:rPr>
              <w:t xml:space="preserve"> 场                              </w:t>
            </w: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水泥混凝土强度试验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448</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448</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4243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4243</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24"/>
                <w:szCs w:val="24"/>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水泥砂浆强度试验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p>
        </w:tc>
        <w:tc>
          <w:tcPr>
            <w:tcW w:w="11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highlight w:val="none"/>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818</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818</w:t>
            </w:r>
          </w:p>
        </w:tc>
        <w:tc>
          <w:tcPr>
            <w:tcW w:w="10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auto"/>
                <w:sz w:val="24"/>
                <w:szCs w:val="24"/>
                <w:highlight w:val="none"/>
              </w:rPr>
            </w:pPr>
          </w:p>
        </w:tc>
        <w:tc>
          <w:tcPr>
            <w:tcW w:w="3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水泥净浆强度试验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25</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25</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126</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126</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jc w:val="center"/>
        </w:trPr>
        <w:tc>
          <w:tcPr>
            <w:tcW w:w="263" w:type="dxa"/>
            <w:tcBorders>
              <w:top w:val="single" w:color="000000" w:sz="4" w:space="0"/>
              <w:left w:val="nil"/>
              <w:bottom w:val="nil"/>
              <w:right w:val="nil"/>
            </w:tcBorders>
            <w:vAlign w:val="center"/>
          </w:tcPr>
          <w:p>
            <w:pPr>
              <w:jc w:val="center"/>
              <w:rPr>
                <w:rFonts w:hint="eastAsia" w:ascii="仿宋_GB2312" w:hAnsi="宋体" w:eastAsia="仿宋_GB2312" w:cs="仿宋_GB2312"/>
                <w:b/>
                <w:color w:val="auto"/>
                <w:sz w:val="24"/>
                <w:szCs w:val="24"/>
                <w:highlight w:val="none"/>
              </w:rPr>
            </w:pPr>
          </w:p>
        </w:tc>
        <w:tc>
          <w:tcPr>
            <w:tcW w:w="3024" w:type="dxa"/>
            <w:gridSpan w:val="2"/>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lang w:bidi="ar"/>
              </w:rPr>
            </w:pPr>
          </w:p>
        </w:tc>
        <w:tc>
          <w:tcPr>
            <w:tcW w:w="89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lang w:bidi="ar"/>
              </w:rPr>
            </w:pPr>
          </w:p>
        </w:tc>
        <w:tc>
          <w:tcPr>
            <w:tcW w:w="95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lang w:bidi="ar"/>
              </w:rPr>
            </w:pPr>
          </w:p>
        </w:tc>
        <w:tc>
          <w:tcPr>
            <w:tcW w:w="116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lang w:bidi="ar"/>
              </w:rPr>
            </w:pPr>
          </w:p>
        </w:tc>
        <w:tc>
          <w:tcPr>
            <w:tcW w:w="1237"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lang w:bidi="ar"/>
              </w:rPr>
            </w:pPr>
          </w:p>
        </w:tc>
        <w:tc>
          <w:tcPr>
            <w:tcW w:w="1073"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lang w:bidi="ar"/>
              </w:rPr>
            </w:pPr>
          </w:p>
        </w:tc>
        <w:tc>
          <w:tcPr>
            <w:tcW w:w="1057"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lang w:bidi="ar"/>
              </w:rPr>
            </w:pPr>
          </w:p>
        </w:tc>
      </w:tr>
      <w:tr>
        <w:tblPrEx>
          <w:tblLayout w:type="fixed"/>
          <w:tblCellMar>
            <w:top w:w="15" w:type="dxa"/>
            <w:left w:w="15" w:type="dxa"/>
            <w:bottom w:w="15" w:type="dxa"/>
            <w:right w:w="15" w:type="dxa"/>
          </w:tblCellMar>
        </w:tblPrEx>
        <w:trPr>
          <w:trHeight w:val="312" w:hRule="atLeast"/>
          <w:jc w:val="center"/>
        </w:trPr>
        <w:tc>
          <w:tcPr>
            <w:tcW w:w="9666" w:type="dxa"/>
            <w:gridSpan w:val="9"/>
            <w:tcBorders>
              <w:top w:val="nil"/>
              <w:left w:val="nil"/>
              <w:bottom w:val="nil"/>
              <w:right w:val="nil"/>
            </w:tcBorders>
            <w:vAlign w:val="center"/>
          </w:tcPr>
          <w:p>
            <w:pPr>
              <w:widowControl/>
              <w:jc w:val="left"/>
              <w:textAlignment w:val="center"/>
              <w:rPr>
                <w:rFonts w:hint="eastAsia" w:ascii="仿宋_GB2312" w:hAnsi="宋体" w:eastAsia="仿宋_GB2312" w:cs="仿宋_GB2312"/>
                <w:color w:val="auto"/>
                <w:sz w:val="18"/>
                <w:szCs w:val="18"/>
                <w:highlight w:val="none"/>
                <w:lang w:bidi="ar"/>
              </w:rPr>
            </w:pPr>
            <w:r>
              <w:rPr>
                <w:rFonts w:hint="eastAsia" w:ascii="仿宋_GB2312" w:hAnsi="宋体" w:eastAsia="仿宋_GB2312" w:cs="仿宋_GB2312"/>
                <w:b/>
                <w:color w:val="auto"/>
                <w:sz w:val="24"/>
                <w:szCs w:val="24"/>
                <w:highlight w:val="none"/>
                <w:lang w:bidi="ar"/>
              </w:rPr>
              <w:t>填表：</w:t>
            </w:r>
            <w:r>
              <w:rPr>
                <w:rFonts w:hint="eastAsia" w:ascii="仿宋_GB2312" w:hAnsi="宋体" w:eastAsia="仿宋_GB2312" w:cs="仿宋_GB2312"/>
                <w:b/>
                <w:color w:val="auto"/>
                <w:sz w:val="24"/>
                <w:szCs w:val="24"/>
                <w:highlight w:val="none"/>
                <w:lang w:val="en-US" w:eastAsia="zh-CN" w:bidi="ar"/>
              </w:rPr>
              <w:t>刘亚</w:t>
            </w:r>
            <w:r>
              <w:rPr>
                <w:rFonts w:hint="eastAsia" w:ascii="仿宋_GB2312" w:hAnsi="宋体" w:eastAsia="仿宋_GB2312" w:cs="仿宋_GB2312"/>
                <w:b/>
                <w:color w:val="auto"/>
                <w:sz w:val="24"/>
                <w:szCs w:val="24"/>
                <w:highlight w:val="none"/>
                <w:lang w:bidi="ar"/>
              </w:rPr>
              <w:t xml:space="preserve">                  复核：</w:t>
            </w:r>
            <w:r>
              <w:rPr>
                <w:rFonts w:hint="eastAsia" w:ascii="仿宋_GB2312" w:hAnsi="宋体" w:eastAsia="仿宋_GB2312" w:cs="仿宋_GB2312"/>
                <w:b/>
                <w:color w:val="auto"/>
                <w:sz w:val="24"/>
                <w:szCs w:val="24"/>
                <w:highlight w:val="none"/>
                <w:lang w:val="en-US" w:eastAsia="zh-CN" w:bidi="ar"/>
              </w:rPr>
              <w:t>刘佳</w:t>
            </w:r>
            <w:r>
              <w:rPr>
                <w:rFonts w:hint="eastAsia" w:ascii="仿宋_GB2312" w:hAnsi="宋体" w:eastAsia="仿宋_GB2312" w:cs="仿宋_GB2312"/>
                <w:b/>
                <w:color w:val="auto"/>
                <w:sz w:val="24"/>
                <w:szCs w:val="24"/>
                <w:highlight w:val="none"/>
                <w:lang w:bidi="ar"/>
              </w:rPr>
              <w:t xml:space="preserve">                  试验技术负责人：</w:t>
            </w:r>
            <w:r>
              <w:rPr>
                <w:rFonts w:hint="eastAsia" w:ascii="仿宋_GB2312" w:hAnsi="宋体" w:eastAsia="仿宋_GB2312" w:cs="仿宋_GB2312"/>
                <w:b/>
                <w:color w:val="auto"/>
                <w:sz w:val="24"/>
                <w:szCs w:val="24"/>
                <w:highlight w:val="none"/>
                <w:lang w:val="en-US" w:eastAsia="zh-CN" w:bidi="ar"/>
              </w:rPr>
              <w:t>张鹏涛</w:t>
            </w:r>
            <w:r>
              <w:rPr>
                <w:rFonts w:hint="eastAsia" w:ascii="仿宋_GB2312" w:hAnsi="宋体" w:eastAsia="仿宋_GB2312" w:cs="仿宋_GB2312"/>
                <w:b/>
                <w:color w:val="auto"/>
                <w:sz w:val="24"/>
                <w:szCs w:val="24"/>
                <w:highlight w:val="none"/>
                <w:lang w:bidi="ar"/>
              </w:rPr>
              <w:t xml:space="preserve"> </w:t>
            </w:r>
          </w:p>
        </w:tc>
      </w:tr>
    </w:tbl>
    <w:p>
      <w:pPr>
        <w:pStyle w:val="2"/>
        <w:rPr>
          <w:rFonts w:hint="eastAsia"/>
          <w:lang w:val="en-US" w:eastAsia="zh-CN"/>
        </w:rPr>
      </w:pPr>
      <w:r>
        <w:rPr>
          <w:rFonts w:hint="eastAsia"/>
          <w:lang w:val="en-US" w:eastAsia="zh-CN"/>
        </w:rPr>
        <w:br w:type="page"/>
      </w:r>
    </w:p>
    <w:tbl>
      <w:tblPr>
        <w:tblStyle w:val="9"/>
        <w:tblW w:w="9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75"/>
        <w:gridCol w:w="1560"/>
        <w:gridCol w:w="924"/>
        <w:gridCol w:w="986"/>
        <w:gridCol w:w="1205"/>
        <w:gridCol w:w="1783"/>
        <w:gridCol w:w="1547"/>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18" w:hRule="atLeast"/>
        </w:trPr>
        <w:tc>
          <w:tcPr>
            <w:tcW w:w="9566" w:type="dxa"/>
            <w:gridSpan w:val="8"/>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b/>
                <w:color w:val="auto"/>
                <w:sz w:val="28"/>
                <w:szCs w:val="28"/>
                <w:highlight w:val="none"/>
                <w:lang w:bidi="ar"/>
              </w:rPr>
              <w:t>太行山高速邢台段XTJL2总监办201</w:t>
            </w:r>
            <w:r>
              <w:rPr>
                <w:rFonts w:hint="eastAsia" w:ascii="仿宋_GB2312" w:hAnsi="宋体" w:eastAsia="仿宋_GB2312" w:cs="仿宋_GB2312"/>
                <w:b/>
                <w:color w:val="auto"/>
                <w:sz w:val="28"/>
                <w:szCs w:val="28"/>
                <w:highlight w:val="none"/>
                <w:lang w:val="en-US" w:eastAsia="zh-CN" w:bidi="ar"/>
              </w:rPr>
              <w:t>8</w:t>
            </w:r>
            <w:r>
              <w:rPr>
                <w:rFonts w:hint="eastAsia" w:ascii="仿宋_GB2312" w:hAnsi="宋体" w:eastAsia="仿宋_GB2312" w:cs="仿宋_GB2312"/>
                <w:b/>
                <w:color w:val="auto"/>
                <w:sz w:val="28"/>
                <w:szCs w:val="28"/>
                <w:highlight w:val="none"/>
                <w:lang w:bidi="ar"/>
              </w:rPr>
              <w:t>年1月试验检测汇总表（二）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9566" w:type="dxa"/>
            <w:gridSpan w:val="8"/>
            <w:tcBorders>
              <w:top w:val="nil"/>
              <w:left w:val="nil"/>
              <w:right w:val="nil"/>
            </w:tcBorders>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22"/>
                <w:highlight w:val="none"/>
                <w:lang w:bidi="ar"/>
              </w:rPr>
              <w:t xml:space="preserve">单位名称：    北京中交安通工程技术咨询有限公司                           合同号： XTJL2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1935" w:type="dxa"/>
            <w:gridSpan w:val="2"/>
            <w:vMerge w:val="restart"/>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试验项目名称</w:t>
            </w:r>
          </w:p>
        </w:tc>
        <w:tc>
          <w:tcPr>
            <w:tcW w:w="3115" w:type="dxa"/>
            <w:gridSpan w:val="3"/>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本月试验情况</w:t>
            </w:r>
          </w:p>
        </w:tc>
        <w:tc>
          <w:tcPr>
            <w:tcW w:w="4516" w:type="dxa"/>
            <w:gridSpan w:val="3"/>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到本月累计试验情况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1935" w:type="dxa"/>
            <w:gridSpan w:val="2"/>
            <w:vMerge w:val="continue"/>
            <w:vAlign w:val="center"/>
          </w:tcPr>
          <w:p>
            <w:pPr>
              <w:jc w:val="center"/>
              <w:rPr>
                <w:rFonts w:hint="eastAsia" w:ascii="仿宋_GB2312" w:hAnsi="宋体" w:eastAsia="仿宋_GB2312" w:cs="仿宋_GB2312"/>
                <w:color w:val="auto"/>
                <w:sz w:val="18"/>
                <w:szCs w:val="18"/>
                <w:highlight w:val="none"/>
              </w:rPr>
            </w:pP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b/>
                <w:color w:val="auto"/>
                <w:sz w:val="18"/>
                <w:szCs w:val="18"/>
                <w:highlight w:val="none"/>
                <w:lang w:bidi="ar"/>
              </w:rPr>
              <w:t>检测次数</w:t>
            </w: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b/>
                <w:color w:val="auto"/>
                <w:sz w:val="18"/>
                <w:szCs w:val="18"/>
                <w:highlight w:val="none"/>
                <w:lang w:bidi="ar"/>
              </w:rPr>
              <w:t>合格次数</w:t>
            </w: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b/>
                <w:color w:val="auto"/>
                <w:sz w:val="18"/>
                <w:szCs w:val="18"/>
                <w:highlight w:val="none"/>
                <w:lang w:bidi="ar"/>
              </w:rPr>
              <w:t>合格率（%）</w:t>
            </w: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b/>
                <w:color w:val="auto"/>
                <w:sz w:val="18"/>
                <w:szCs w:val="18"/>
                <w:highlight w:val="none"/>
                <w:lang w:bidi="ar"/>
              </w:rPr>
              <w:t>累计检测次数</w:t>
            </w:r>
          </w:p>
        </w:tc>
        <w:tc>
          <w:tcPr>
            <w:tcW w:w="1547" w:type="dxa"/>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累计合格</w:t>
            </w:r>
          </w:p>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b/>
                <w:color w:val="auto"/>
                <w:sz w:val="18"/>
                <w:szCs w:val="18"/>
                <w:highlight w:val="none"/>
                <w:lang w:bidi="ar"/>
              </w:rPr>
              <w:t>次数</w:t>
            </w: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b/>
                <w:color w:val="auto"/>
                <w:sz w:val="18"/>
                <w:szCs w:val="18"/>
                <w:highlight w:val="none"/>
                <w:lang w:bidi="ar"/>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restart"/>
            <w:vAlign w:val="center"/>
          </w:tcPr>
          <w:p>
            <w:pPr>
              <w:widowControl/>
              <w:jc w:val="center"/>
              <w:textAlignment w:val="center"/>
              <w:rPr>
                <w:rFonts w:hint="eastAsia" w:ascii="仿宋_GB2312" w:hAnsi="宋体" w:eastAsia="仿宋_GB2312" w:cs="仿宋_GB2312"/>
                <w:b/>
                <w:color w:val="auto"/>
                <w:sz w:val="18"/>
                <w:szCs w:val="18"/>
                <w:highlight w:val="none"/>
                <w:lang w:bidi="ar"/>
              </w:rPr>
            </w:pPr>
            <w:r>
              <w:rPr>
                <w:rFonts w:hint="eastAsia" w:ascii="仿宋_GB2312" w:hAnsi="宋体" w:eastAsia="仿宋_GB2312" w:cs="仿宋_GB2312"/>
                <w:b/>
                <w:color w:val="auto"/>
                <w:sz w:val="18"/>
                <w:szCs w:val="18"/>
                <w:highlight w:val="none"/>
                <w:lang w:bidi="ar"/>
              </w:rPr>
              <w:t xml:space="preserve">现          场 </w:t>
            </w: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lang w:bidi="ar"/>
              </w:rPr>
            </w:pPr>
            <w:r>
              <w:rPr>
                <w:rFonts w:hint="eastAsia" w:ascii="仿宋_GB2312" w:hAnsi="宋体" w:eastAsia="仿宋_GB2312" w:cs="仿宋_GB2312"/>
                <w:color w:val="auto"/>
                <w:sz w:val="18"/>
                <w:szCs w:val="18"/>
                <w:highlight w:val="none"/>
                <w:lang w:bidi="ar"/>
              </w:rPr>
              <w:t>水泥混凝土拌合物稠度</w:t>
            </w:r>
          </w:p>
        </w:tc>
        <w:tc>
          <w:tcPr>
            <w:tcW w:w="924"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97</w:t>
            </w:r>
          </w:p>
        </w:tc>
        <w:tc>
          <w:tcPr>
            <w:tcW w:w="9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97</w:t>
            </w:r>
          </w:p>
        </w:tc>
        <w:tc>
          <w:tcPr>
            <w:tcW w:w="1205"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4139</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4139</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压实度</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灰剂量</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结构物保护层厚度</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sz w:val="18"/>
                <w:szCs w:val="18"/>
              </w:rPr>
              <w:t>119</w:t>
            </w: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sz w:val="18"/>
                <w:szCs w:val="18"/>
              </w:rPr>
              <w:t>119</w:t>
            </w: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结构物回弹强度</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sz w:val="18"/>
                <w:szCs w:val="18"/>
              </w:rPr>
              <w:t>150</w:t>
            </w: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sz w:val="18"/>
                <w:szCs w:val="18"/>
              </w:rPr>
              <w:t>150</w:t>
            </w: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水凝混凝土抗折强度试验</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地基承载力试验</w:t>
            </w:r>
          </w:p>
        </w:tc>
        <w:tc>
          <w:tcPr>
            <w:tcW w:w="924"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3</w:t>
            </w:r>
          </w:p>
        </w:tc>
        <w:tc>
          <w:tcPr>
            <w:tcW w:w="9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3</w:t>
            </w:r>
          </w:p>
        </w:tc>
        <w:tc>
          <w:tcPr>
            <w:tcW w:w="1205" w:type="dxa"/>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53</w:t>
            </w:r>
          </w:p>
        </w:tc>
        <w:tc>
          <w:tcPr>
            <w:tcW w:w="1547" w:type="dxa"/>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53</w:t>
            </w:r>
          </w:p>
        </w:tc>
        <w:tc>
          <w:tcPr>
            <w:tcW w:w="1186" w:type="dxa"/>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restart"/>
            <w:vAlign w:val="center"/>
          </w:tcPr>
          <w:p>
            <w:pPr>
              <w:widowControl/>
              <w:jc w:val="center"/>
              <w:textAlignment w:val="center"/>
              <w:rPr>
                <w:rFonts w:hint="eastAsia" w:ascii="仿宋_GB2312" w:hAnsi="宋体" w:eastAsia="仿宋_GB2312" w:cs="仿宋_GB2312"/>
                <w:b/>
                <w:color w:val="auto"/>
                <w:sz w:val="18"/>
                <w:szCs w:val="18"/>
                <w:highlight w:val="none"/>
              </w:rPr>
            </w:pPr>
            <w:r>
              <w:rPr>
                <w:rFonts w:hint="eastAsia" w:ascii="仿宋_GB2312" w:hAnsi="宋体" w:eastAsia="仿宋_GB2312" w:cs="仿宋_GB2312"/>
                <w:b/>
                <w:color w:val="auto"/>
                <w:sz w:val="18"/>
                <w:szCs w:val="18"/>
                <w:highlight w:val="none"/>
                <w:lang w:bidi="ar"/>
              </w:rPr>
              <w:t xml:space="preserve">外   委          试          验       </w:t>
            </w: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粉煤灰</w:t>
            </w:r>
          </w:p>
        </w:tc>
        <w:tc>
          <w:tcPr>
            <w:tcW w:w="924"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w:t>
            </w:r>
          </w:p>
        </w:tc>
        <w:tc>
          <w:tcPr>
            <w:tcW w:w="986" w:type="dxa"/>
            <w:vAlign w:val="top"/>
          </w:tcPr>
          <w:p>
            <w:pPr>
              <w:jc w:val="center"/>
              <w:rPr>
                <w:rFonts w:hint="eastAsia" w:ascii="宋体" w:hAnsi="宋体" w:cs="宋体"/>
                <w:color w:val="auto"/>
                <w:szCs w:val="21"/>
                <w:highlight w:val="none"/>
              </w:rPr>
            </w:pPr>
            <w:r>
              <w:rPr>
                <w:rFonts w:hint="eastAsia" w:ascii="宋体" w:hAnsi="宋体" w:cs="宋体"/>
                <w:szCs w:val="21"/>
              </w:rPr>
              <w:t>1</w:t>
            </w:r>
          </w:p>
        </w:tc>
        <w:tc>
          <w:tcPr>
            <w:tcW w:w="1205"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高炉矿渣粉</w:t>
            </w:r>
          </w:p>
        </w:tc>
        <w:tc>
          <w:tcPr>
            <w:tcW w:w="924"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w:t>
            </w:r>
          </w:p>
        </w:tc>
        <w:tc>
          <w:tcPr>
            <w:tcW w:w="986" w:type="dxa"/>
            <w:vAlign w:val="top"/>
          </w:tcPr>
          <w:p>
            <w:pPr>
              <w:jc w:val="center"/>
              <w:rPr>
                <w:rFonts w:hint="eastAsia" w:ascii="宋体" w:hAnsi="宋体" w:cs="宋体"/>
                <w:color w:val="auto"/>
                <w:szCs w:val="21"/>
                <w:highlight w:val="none"/>
              </w:rPr>
            </w:pPr>
            <w:r>
              <w:rPr>
                <w:rFonts w:hint="eastAsia" w:ascii="宋体" w:hAnsi="宋体" w:cs="宋体"/>
                <w:szCs w:val="21"/>
              </w:rPr>
              <w:t>2</w:t>
            </w:r>
          </w:p>
        </w:tc>
        <w:tc>
          <w:tcPr>
            <w:tcW w:w="1205"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23</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23</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w:t>
            </w:r>
          </w:p>
        </w:tc>
        <w:tc>
          <w:tcPr>
            <w:tcW w:w="924"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w:t>
            </w:r>
          </w:p>
        </w:tc>
        <w:tc>
          <w:tcPr>
            <w:tcW w:w="986" w:type="dxa"/>
            <w:vAlign w:val="top"/>
          </w:tcPr>
          <w:p>
            <w:pPr>
              <w:jc w:val="center"/>
              <w:rPr>
                <w:rFonts w:hint="eastAsia" w:ascii="宋体" w:hAnsi="宋体" w:cs="宋体"/>
                <w:color w:val="auto"/>
                <w:szCs w:val="21"/>
                <w:highlight w:val="none"/>
              </w:rPr>
            </w:pPr>
            <w:r>
              <w:rPr>
                <w:rFonts w:hint="eastAsia" w:ascii="宋体" w:hAnsi="宋体" w:cs="宋体"/>
                <w:szCs w:val="21"/>
              </w:rPr>
              <w:t>1</w:t>
            </w:r>
          </w:p>
        </w:tc>
        <w:tc>
          <w:tcPr>
            <w:tcW w:w="1205"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8</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8</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粗集料</w:t>
            </w:r>
          </w:p>
        </w:tc>
        <w:tc>
          <w:tcPr>
            <w:tcW w:w="924"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5</w:t>
            </w:r>
          </w:p>
        </w:tc>
        <w:tc>
          <w:tcPr>
            <w:tcW w:w="986" w:type="dxa"/>
            <w:vAlign w:val="top"/>
          </w:tcPr>
          <w:p>
            <w:pPr>
              <w:jc w:val="center"/>
              <w:rPr>
                <w:rFonts w:hint="eastAsia" w:ascii="宋体" w:hAnsi="宋体" w:cs="宋体"/>
                <w:color w:val="auto"/>
                <w:szCs w:val="21"/>
                <w:highlight w:val="none"/>
              </w:rPr>
            </w:pPr>
            <w:r>
              <w:rPr>
                <w:rFonts w:hint="eastAsia" w:ascii="宋体" w:hAnsi="宋体" w:cs="宋体"/>
                <w:szCs w:val="21"/>
              </w:rPr>
              <w:t>5</w:t>
            </w:r>
          </w:p>
        </w:tc>
        <w:tc>
          <w:tcPr>
            <w:tcW w:w="1205"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11</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11</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细集料</w:t>
            </w:r>
          </w:p>
        </w:tc>
        <w:tc>
          <w:tcPr>
            <w:tcW w:w="924"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w:t>
            </w:r>
          </w:p>
        </w:tc>
        <w:tc>
          <w:tcPr>
            <w:tcW w:w="986" w:type="dxa"/>
            <w:vAlign w:val="top"/>
          </w:tcPr>
          <w:p>
            <w:pPr>
              <w:jc w:val="center"/>
              <w:rPr>
                <w:rFonts w:hint="eastAsia" w:ascii="宋体" w:hAnsi="宋体" w:cs="宋体"/>
                <w:color w:val="auto"/>
                <w:szCs w:val="21"/>
                <w:highlight w:val="none"/>
              </w:rPr>
            </w:pPr>
            <w:r>
              <w:rPr>
                <w:rFonts w:hint="eastAsia" w:ascii="宋体" w:hAnsi="宋体" w:cs="宋体"/>
                <w:szCs w:val="21"/>
              </w:rPr>
              <w:t>1</w:t>
            </w:r>
          </w:p>
        </w:tc>
        <w:tc>
          <w:tcPr>
            <w:tcW w:w="1205"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外加剂</w:t>
            </w:r>
          </w:p>
        </w:tc>
        <w:tc>
          <w:tcPr>
            <w:tcW w:w="924" w:type="dxa"/>
            <w:vAlign w:val="center"/>
          </w:tcPr>
          <w:p>
            <w:pPr>
              <w:widowControl/>
              <w:jc w:val="center"/>
              <w:textAlignment w:val="center"/>
              <w:rPr>
                <w:rFonts w:ascii="宋体" w:hAnsi="宋体" w:cs="宋体"/>
                <w:color w:val="auto"/>
                <w:szCs w:val="21"/>
                <w:highlight w:val="none"/>
              </w:rPr>
            </w:pPr>
            <w:r>
              <w:rPr>
                <w:rFonts w:hint="eastAsia" w:ascii="宋体" w:hAnsi="宋体" w:cs="宋体"/>
                <w:szCs w:val="21"/>
              </w:rPr>
              <w:t>1</w:t>
            </w:r>
          </w:p>
        </w:tc>
        <w:tc>
          <w:tcPr>
            <w:tcW w:w="986" w:type="dxa"/>
            <w:vAlign w:val="top"/>
          </w:tcPr>
          <w:p>
            <w:pPr>
              <w:jc w:val="center"/>
              <w:rPr>
                <w:rFonts w:hint="eastAsia" w:ascii="宋体" w:hAnsi="宋体" w:cs="宋体"/>
                <w:color w:val="auto"/>
                <w:szCs w:val="21"/>
                <w:highlight w:val="none"/>
              </w:rPr>
            </w:pPr>
            <w:r>
              <w:rPr>
                <w:rFonts w:hint="eastAsia" w:ascii="宋体" w:hAnsi="宋体" w:cs="宋体"/>
                <w:szCs w:val="21"/>
              </w:rPr>
              <w:t>1</w:t>
            </w:r>
          </w:p>
        </w:tc>
        <w:tc>
          <w:tcPr>
            <w:tcW w:w="1205"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13</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13</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桥梁支座</w:t>
            </w:r>
          </w:p>
        </w:tc>
        <w:tc>
          <w:tcPr>
            <w:tcW w:w="924" w:type="dxa"/>
            <w:vAlign w:val="center"/>
          </w:tcPr>
          <w:p>
            <w:pPr>
              <w:widowControl/>
              <w:jc w:val="center"/>
              <w:textAlignment w:val="center"/>
              <w:rPr>
                <w:rFonts w:hint="eastAsia" w:ascii="宋体" w:hAnsi="宋体" w:cs="宋体"/>
                <w:color w:val="auto"/>
                <w:szCs w:val="21"/>
                <w:highlight w:val="none"/>
              </w:rPr>
            </w:pPr>
          </w:p>
        </w:tc>
        <w:tc>
          <w:tcPr>
            <w:tcW w:w="986" w:type="dxa"/>
            <w:vAlign w:val="top"/>
          </w:tcPr>
          <w:p>
            <w:pPr>
              <w:jc w:val="center"/>
              <w:rPr>
                <w:rFonts w:hint="eastAsia" w:ascii="宋体" w:hAnsi="宋体" w:cs="宋体"/>
                <w:color w:val="auto"/>
                <w:szCs w:val="21"/>
                <w:highlight w:val="none"/>
              </w:rPr>
            </w:pPr>
          </w:p>
        </w:tc>
        <w:tc>
          <w:tcPr>
            <w:tcW w:w="1205" w:type="dxa"/>
            <w:vAlign w:val="top"/>
          </w:tcPr>
          <w:p>
            <w:pPr>
              <w:jc w:val="center"/>
              <w:rPr>
                <w:rFonts w:hint="eastAsia" w:ascii="宋体" w:hAnsi="宋体" w:cs="宋体"/>
                <w:color w:val="auto"/>
                <w:szCs w:val="21"/>
                <w:highlight w:val="none"/>
              </w:rPr>
            </w:pPr>
          </w:p>
        </w:tc>
        <w:tc>
          <w:tcPr>
            <w:tcW w:w="1783" w:type="dxa"/>
            <w:vAlign w:val="top"/>
          </w:tcPr>
          <w:p>
            <w:pPr>
              <w:jc w:val="center"/>
              <w:rPr>
                <w:rFonts w:hint="eastAsia" w:ascii="宋体" w:hAnsi="宋体" w:cs="宋体"/>
                <w:color w:val="auto"/>
                <w:szCs w:val="21"/>
                <w:highlight w:val="none"/>
              </w:rPr>
            </w:pPr>
            <w:r>
              <w:rPr>
                <w:rFonts w:hint="eastAsia" w:ascii="宋体" w:hAnsi="宋体" w:cs="宋体"/>
                <w:szCs w:val="21"/>
              </w:rPr>
              <w:t>8</w:t>
            </w:r>
          </w:p>
        </w:tc>
        <w:tc>
          <w:tcPr>
            <w:tcW w:w="1547" w:type="dxa"/>
            <w:vAlign w:val="top"/>
          </w:tcPr>
          <w:p>
            <w:pPr>
              <w:jc w:val="center"/>
              <w:rPr>
                <w:rFonts w:hint="eastAsia" w:ascii="宋体" w:hAnsi="宋体" w:cs="宋体"/>
                <w:color w:val="auto"/>
                <w:szCs w:val="21"/>
                <w:highlight w:val="none"/>
              </w:rPr>
            </w:pPr>
            <w:r>
              <w:rPr>
                <w:rFonts w:hint="eastAsia" w:ascii="宋体" w:hAnsi="宋体" w:cs="宋体"/>
                <w:szCs w:val="21"/>
              </w:rPr>
              <w:t>8</w:t>
            </w:r>
          </w:p>
        </w:tc>
        <w:tc>
          <w:tcPr>
            <w:tcW w:w="1186"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钢绞线</w:t>
            </w:r>
          </w:p>
        </w:tc>
        <w:tc>
          <w:tcPr>
            <w:tcW w:w="924" w:type="dxa"/>
            <w:vAlign w:val="top"/>
          </w:tcPr>
          <w:p>
            <w:pPr>
              <w:jc w:val="center"/>
              <w:rPr>
                <w:rFonts w:hint="eastAsia" w:ascii="宋体" w:hAnsi="宋体" w:cs="宋体"/>
                <w:color w:val="auto"/>
                <w:szCs w:val="21"/>
                <w:highlight w:val="none"/>
              </w:rPr>
            </w:pPr>
            <w:r>
              <w:rPr>
                <w:rFonts w:hint="eastAsia" w:ascii="宋体" w:hAnsi="宋体" w:cs="宋体"/>
                <w:szCs w:val="21"/>
              </w:rPr>
              <w:t>2</w:t>
            </w:r>
          </w:p>
        </w:tc>
        <w:tc>
          <w:tcPr>
            <w:tcW w:w="986" w:type="dxa"/>
            <w:vAlign w:val="top"/>
          </w:tcPr>
          <w:p>
            <w:pPr>
              <w:jc w:val="center"/>
              <w:rPr>
                <w:rFonts w:hint="eastAsia" w:ascii="宋体" w:hAnsi="宋体" w:cs="宋体"/>
                <w:color w:val="auto"/>
                <w:szCs w:val="21"/>
                <w:highlight w:val="none"/>
              </w:rPr>
            </w:pPr>
            <w:r>
              <w:rPr>
                <w:rFonts w:hint="eastAsia" w:ascii="宋体" w:hAnsi="宋体" w:cs="宋体"/>
                <w:szCs w:val="21"/>
              </w:rPr>
              <w:t>2</w:t>
            </w:r>
          </w:p>
        </w:tc>
        <w:tc>
          <w:tcPr>
            <w:tcW w:w="1205"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c>
          <w:tcPr>
            <w:tcW w:w="1783" w:type="dxa"/>
            <w:vAlign w:val="top"/>
          </w:tcPr>
          <w:p>
            <w:pPr>
              <w:jc w:val="center"/>
              <w:rPr>
                <w:rFonts w:hint="eastAsia" w:ascii="宋体" w:hAnsi="宋体" w:cs="宋体"/>
                <w:color w:val="auto"/>
                <w:szCs w:val="21"/>
                <w:highlight w:val="none"/>
              </w:rPr>
            </w:pPr>
            <w:r>
              <w:rPr>
                <w:rFonts w:hint="eastAsia" w:ascii="宋体" w:hAnsi="宋体" w:cs="宋体"/>
                <w:szCs w:val="21"/>
              </w:rPr>
              <w:t>16</w:t>
            </w:r>
          </w:p>
        </w:tc>
        <w:tc>
          <w:tcPr>
            <w:tcW w:w="1547" w:type="dxa"/>
            <w:vAlign w:val="top"/>
          </w:tcPr>
          <w:p>
            <w:pPr>
              <w:jc w:val="center"/>
              <w:rPr>
                <w:rFonts w:hint="eastAsia" w:ascii="宋体" w:hAnsi="宋体" w:cs="宋体"/>
                <w:color w:val="auto"/>
                <w:szCs w:val="21"/>
                <w:highlight w:val="none"/>
              </w:rPr>
            </w:pPr>
            <w:r>
              <w:rPr>
                <w:rFonts w:hint="eastAsia" w:ascii="宋体" w:hAnsi="宋体" w:cs="宋体"/>
                <w:szCs w:val="21"/>
              </w:rPr>
              <w:t>16</w:t>
            </w:r>
          </w:p>
        </w:tc>
        <w:tc>
          <w:tcPr>
            <w:tcW w:w="1186" w:type="dxa"/>
            <w:vAlign w:val="top"/>
          </w:tcPr>
          <w:p>
            <w:pPr>
              <w:jc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锚具</w:t>
            </w:r>
          </w:p>
        </w:tc>
        <w:tc>
          <w:tcPr>
            <w:tcW w:w="924" w:type="dxa"/>
            <w:vAlign w:val="top"/>
          </w:tcPr>
          <w:p>
            <w:pPr>
              <w:widowControl/>
              <w:jc w:val="center"/>
              <w:textAlignment w:val="center"/>
              <w:rPr>
                <w:rFonts w:hint="eastAsia" w:ascii="宋体" w:hAnsi="宋体" w:cs="宋体"/>
                <w:color w:val="auto"/>
                <w:szCs w:val="21"/>
                <w:highlight w:val="none"/>
              </w:rPr>
            </w:pPr>
          </w:p>
        </w:tc>
        <w:tc>
          <w:tcPr>
            <w:tcW w:w="986" w:type="dxa"/>
            <w:vAlign w:val="top"/>
          </w:tcPr>
          <w:p>
            <w:pPr>
              <w:widowControl/>
              <w:jc w:val="center"/>
              <w:textAlignment w:val="center"/>
              <w:rPr>
                <w:rFonts w:hint="eastAsia" w:ascii="宋体" w:hAnsi="宋体" w:cs="宋体"/>
                <w:color w:val="auto"/>
                <w:szCs w:val="21"/>
                <w:highlight w:val="none"/>
              </w:rPr>
            </w:pPr>
          </w:p>
        </w:tc>
        <w:tc>
          <w:tcPr>
            <w:tcW w:w="1205" w:type="dxa"/>
            <w:vAlign w:val="top"/>
          </w:tcPr>
          <w:p>
            <w:pPr>
              <w:widowControl/>
              <w:jc w:val="center"/>
              <w:textAlignment w:val="center"/>
              <w:rPr>
                <w:rFonts w:hint="eastAsia" w:ascii="宋体" w:hAnsi="宋体" w:cs="宋体"/>
                <w:color w:val="auto"/>
                <w:szCs w:val="21"/>
                <w:highlight w:val="none"/>
              </w:rPr>
            </w:pPr>
          </w:p>
        </w:tc>
        <w:tc>
          <w:tcPr>
            <w:tcW w:w="1783" w:type="dxa"/>
            <w:vAlign w:val="top"/>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547" w:type="dxa"/>
            <w:vAlign w:val="top"/>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186" w:type="dxa"/>
            <w:vAlign w:val="top"/>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夹片</w:t>
            </w:r>
          </w:p>
        </w:tc>
        <w:tc>
          <w:tcPr>
            <w:tcW w:w="924" w:type="dxa"/>
            <w:vAlign w:val="top"/>
          </w:tcPr>
          <w:p>
            <w:pPr>
              <w:widowControl/>
              <w:jc w:val="center"/>
              <w:textAlignment w:val="center"/>
              <w:rPr>
                <w:rFonts w:hint="eastAsia" w:ascii="宋体" w:hAnsi="宋体" w:cs="宋体"/>
                <w:color w:val="auto"/>
                <w:szCs w:val="21"/>
                <w:highlight w:val="none"/>
              </w:rPr>
            </w:pPr>
          </w:p>
        </w:tc>
        <w:tc>
          <w:tcPr>
            <w:tcW w:w="986" w:type="dxa"/>
            <w:vAlign w:val="top"/>
          </w:tcPr>
          <w:p>
            <w:pPr>
              <w:widowControl/>
              <w:jc w:val="center"/>
              <w:textAlignment w:val="center"/>
              <w:rPr>
                <w:rFonts w:hint="eastAsia" w:ascii="宋体" w:hAnsi="宋体" w:cs="宋体"/>
                <w:color w:val="auto"/>
                <w:szCs w:val="21"/>
                <w:highlight w:val="none"/>
              </w:rPr>
            </w:pPr>
          </w:p>
        </w:tc>
        <w:tc>
          <w:tcPr>
            <w:tcW w:w="1205" w:type="dxa"/>
            <w:vAlign w:val="top"/>
          </w:tcPr>
          <w:p>
            <w:pPr>
              <w:widowControl/>
              <w:jc w:val="center"/>
              <w:textAlignment w:val="center"/>
              <w:rPr>
                <w:rFonts w:hint="eastAsia" w:ascii="宋体" w:hAnsi="宋体" w:cs="宋体"/>
                <w:color w:val="auto"/>
                <w:szCs w:val="21"/>
                <w:highlight w:val="none"/>
              </w:rPr>
            </w:pPr>
          </w:p>
        </w:tc>
        <w:tc>
          <w:tcPr>
            <w:tcW w:w="1783" w:type="dxa"/>
            <w:vAlign w:val="top"/>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547" w:type="dxa"/>
            <w:vAlign w:val="top"/>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186" w:type="dxa"/>
            <w:vAlign w:val="top"/>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土工格栅</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土工格室</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土工布</w:t>
            </w:r>
          </w:p>
        </w:tc>
        <w:tc>
          <w:tcPr>
            <w:tcW w:w="924" w:type="dxa"/>
            <w:vAlign w:val="center"/>
          </w:tcPr>
          <w:p>
            <w:pPr>
              <w:widowControl/>
              <w:jc w:val="center"/>
              <w:textAlignment w:val="center"/>
              <w:rPr>
                <w:rFonts w:hint="eastAsia" w:ascii="宋体" w:hAnsi="宋体" w:cs="宋体"/>
                <w:color w:val="auto"/>
                <w:szCs w:val="21"/>
                <w:highlight w:val="none"/>
              </w:rPr>
            </w:pPr>
          </w:p>
        </w:tc>
        <w:tc>
          <w:tcPr>
            <w:tcW w:w="986" w:type="dxa"/>
            <w:vAlign w:val="center"/>
          </w:tcPr>
          <w:p>
            <w:pPr>
              <w:widowControl/>
              <w:jc w:val="center"/>
              <w:textAlignment w:val="center"/>
              <w:rPr>
                <w:rFonts w:hint="eastAsia" w:ascii="宋体" w:hAnsi="宋体" w:cs="宋体"/>
                <w:color w:val="auto"/>
                <w:szCs w:val="21"/>
                <w:highlight w:val="none"/>
              </w:rPr>
            </w:pPr>
          </w:p>
        </w:tc>
        <w:tc>
          <w:tcPr>
            <w:tcW w:w="1205" w:type="dxa"/>
            <w:vAlign w:val="center"/>
          </w:tcPr>
          <w:p>
            <w:pPr>
              <w:jc w:val="center"/>
              <w:rPr>
                <w:rFonts w:hint="eastAsia" w:ascii="宋体" w:hAnsi="宋体" w:cs="宋体"/>
                <w:color w:val="auto"/>
                <w:szCs w:val="21"/>
                <w:highlight w:val="none"/>
              </w:rPr>
            </w:pP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4</w:t>
            </w:r>
          </w:p>
        </w:tc>
        <w:tc>
          <w:tcPr>
            <w:tcW w:w="1186" w:type="dxa"/>
            <w:vAlign w:val="center"/>
          </w:tcPr>
          <w:p>
            <w:pPr>
              <w:jc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工字钢</w:t>
            </w:r>
          </w:p>
        </w:tc>
        <w:tc>
          <w:tcPr>
            <w:tcW w:w="924" w:type="dxa"/>
            <w:vAlign w:val="center"/>
          </w:tcPr>
          <w:p>
            <w:pPr>
              <w:widowControl/>
              <w:jc w:val="center"/>
              <w:textAlignment w:val="center"/>
              <w:rPr>
                <w:rFonts w:hint="eastAsia" w:ascii="宋体" w:hAnsi="宋体" w:cs="宋体"/>
                <w:color w:val="auto"/>
                <w:szCs w:val="21"/>
                <w:highlight w:val="none"/>
              </w:rPr>
            </w:pPr>
          </w:p>
        </w:tc>
        <w:tc>
          <w:tcPr>
            <w:tcW w:w="986" w:type="dxa"/>
            <w:vAlign w:val="top"/>
          </w:tcPr>
          <w:p>
            <w:pPr>
              <w:jc w:val="center"/>
              <w:rPr>
                <w:rFonts w:hint="eastAsia" w:ascii="宋体" w:hAnsi="宋体" w:cs="宋体"/>
                <w:color w:val="auto"/>
                <w:szCs w:val="21"/>
                <w:highlight w:val="none"/>
              </w:rPr>
            </w:pPr>
          </w:p>
        </w:tc>
        <w:tc>
          <w:tcPr>
            <w:tcW w:w="1205" w:type="dxa"/>
            <w:vAlign w:val="top"/>
          </w:tcPr>
          <w:p>
            <w:pPr>
              <w:jc w:val="center"/>
              <w:rPr>
                <w:rFonts w:hint="eastAsia" w:ascii="宋体" w:hAnsi="宋体" w:cs="宋体"/>
                <w:color w:val="auto"/>
                <w:szCs w:val="21"/>
                <w:highlight w:val="none"/>
              </w:rPr>
            </w:pP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20</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20</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桩基检测</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w:t>
            </w:r>
          </w:p>
        </w:tc>
        <w:tc>
          <w:tcPr>
            <w:tcW w:w="924" w:type="dxa"/>
            <w:vAlign w:val="center"/>
          </w:tcPr>
          <w:p>
            <w:pPr>
              <w:widowControl/>
              <w:jc w:val="center"/>
              <w:textAlignment w:val="center"/>
              <w:rPr>
                <w:rFonts w:hint="eastAsia" w:ascii="宋体" w:hAnsi="宋体" w:cs="宋体"/>
                <w:color w:val="auto"/>
                <w:szCs w:val="21"/>
                <w:highlight w:val="none"/>
              </w:rPr>
            </w:pPr>
          </w:p>
        </w:tc>
        <w:tc>
          <w:tcPr>
            <w:tcW w:w="986" w:type="dxa"/>
            <w:vAlign w:val="center"/>
          </w:tcPr>
          <w:p>
            <w:pPr>
              <w:widowControl/>
              <w:jc w:val="center"/>
              <w:textAlignment w:val="center"/>
              <w:rPr>
                <w:rFonts w:hint="eastAsia" w:ascii="宋体" w:hAnsi="宋体" w:cs="宋体"/>
                <w:color w:val="auto"/>
                <w:szCs w:val="21"/>
                <w:highlight w:val="none"/>
              </w:rPr>
            </w:pPr>
          </w:p>
        </w:tc>
        <w:tc>
          <w:tcPr>
            <w:tcW w:w="1205" w:type="dxa"/>
            <w:vAlign w:val="center"/>
          </w:tcPr>
          <w:p>
            <w:pPr>
              <w:widowControl/>
              <w:jc w:val="center"/>
              <w:textAlignment w:val="center"/>
              <w:rPr>
                <w:rFonts w:hint="eastAsia" w:ascii="宋体" w:hAnsi="宋体" w:cs="宋体"/>
                <w:color w:val="auto"/>
                <w:szCs w:val="21"/>
                <w:highlight w:val="none"/>
              </w:rPr>
            </w:pPr>
          </w:p>
        </w:tc>
        <w:tc>
          <w:tcPr>
            <w:tcW w:w="1783"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7</w:t>
            </w:r>
          </w:p>
        </w:tc>
        <w:tc>
          <w:tcPr>
            <w:tcW w:w="1547"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7</w:t>
            </w:r>
          </w:p>
        </w:tc>
        <w:tc>
          <w:tcPr>
            <w:tcW w:w="1186" w:type="dxa"/>
            <w:vAlign w:val="center"/>
          </w:tcPr>
          <w:p>
            <w:pPr>
              <w:widowControl/>
              <w:jc w:val="center"/>
              <w:textAlignment w:val="center"/>
              <w:rPr>
                <w:rFonts w:hint="eastAsia" w:ascii="宋体" w:hAnsi="宋体" w:cs="宋体"/>
                <w:color w:val="auto"/>
                <w:szCs w:val="21"/>
                <w:highlight w:val="none"/>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塑料波纹管</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15</w:t>
            </w: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15</w:t>
            </w: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钢波纹管涵原材</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水泥混凝土电通量试验</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32</w:t>
            </w: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32</w:t>
            </w: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000000"/>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auto"/>
                <w:sz w:val="18"/>
                <w:szCs w:val="18"/>
                <w:highlight w:val="none"/>
              </w:rPr>
            </w:pPr>
          </w:p>
        </w:tc>
        <w:tc>
          <w:tcPr>
            <w:tcW w:w="1560" w:type="dxa"/>
            <w:vAlign w:val="center"/>
          </w:tcPr>
          <w:p>
            <w:pPr>
              <w:widowControl/>
              <w:jc w:val="center"/>
              <w:textAlignment w:val="center"/>
              <w:rPr>
                <w:rFonts w:hint="eastAsia" w:ascii="仿宋_GB2312" w:hAnsi="宋体" w:eastAsia="仿宋_GB2312" w:cs="仿宋_GB2312"/>
                <w:color w:val="auto"/>
                <w:sz w:val="18"/>
                <w:szCs w:val="18"/>
                <w:highlight w:val="none"/>
              </w:rPr>
            </w:pPr>
            <w:r>
              <w:rPr>
                <w:rFonts w:hint="eastAsia" w:ascii="仿宋_GB2312" w:hAnsi="宋体" w:eastAsia="仿宋_GB2312" w:cs="仿宋_GB2312"/>
                <w:color w:val="auto"/>
                <w:sz w:val="18"/>
                <w:szCs w:val="18"/>
                <w:highlight w:val="none"/>
                <w:lang w:bidi="ar"/>
              </w:rPr>
              <w:t>水泥混凝土电通量试验</w:t>
            </w:r>
          </w:p>
        </w:tc>
        <w:tc>
          <w:tcPr>
            <w:tcW w:w="924"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986"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205"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783"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547" w:type="dxa"/>
            <w:vAlign w:val="center"/>
          </w:tcPr>
          <w:p>
            <w:pPr>
              <w:widowControl/>
              <w:jc w:val="center"/>
              <w:textAlignment w:val="center"/>
              <w:rPr>
                <w:rFonts w:hint="eastAsia" w:ascii="仿宋_GB2312" w:hAnsi="宋体" w:eastAsia="仿宋_GB2312" w:cs="仿宋_GB2312"/>
                <w:color w:val="auto"/>
                <w:sz w:val="18"/>
                <w:szCs w:val="18"/>
                <w:highlight w:val="none"/>
              </w:rPr>
            </w:pPr>
          </w:p>
        </w:tc>
        <w:tc>
          <w:tcPr>
            <w:tcW w:w="1186" w:type="dxa"/>
            <w:vAlign w:val="center"/>
          </w:tcPr>
          <w:p>
            <w:pPr>
              <w:widowControl/>
              <w:jc w:val="center"/>
              <w:textAlignment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75" w:type="dxa"/>
            <w:vMerge w:val="continue"/>
            <w:vAlign w:val="center"/>
          </w:tcPr>
          <w:p>
            <w:pPr>
              <w:jc w:val="center"/>
              <w:rPr>
                <w:rFonts w:hint="eastAsia" w:ascii="仿宋_GB2312" w:hAnsi="宋体" w:eastAsia="仿宋_GB2312" w:cs="仿宋_GB2312"/>
                <w:b/>
                <w:color w:val="auto"/>
                <w:sz w:val="24"/>
                <w:szCs w:val="24"/>
                <w:highlight w:val="none"/>
              </w:rPr>
            </w:pPr>
          </w:p>
        </w:tc>
        <w:tc>
          <w:tcPr>
            <w:tcW w:w="1560" w:type="dxa"/>
            <w:vAlign w:val="center"/>
          </w:tcPr>
          <w:p>
            <w:pPr>
              <w:jc w:val="center"/>
              <w:rPr>
                <w:rFonts w:hint="eastAsia" w:ascii="仿宋_GB2312" w:hAnsi="宋体" w:eastAsia="仿宋_GB2312" w:cs="仿宋_GB2312"/>
                <w:color w:val="auto"/>
                <w:sz w:val="22"/>
                <w:highlight w:val="none"/>
              </w:rPr>
            </w:pPr>
          </w:p>
        </w:tc>
        <w:tc>
          <w:tcPr>
            <w:tcW w:w="924" w:type="dxa"/>
            <w:vAlign w:val="center"/>
          </w:tcPr>
          <w:p>
            <w:pPr>
              <w:jc w:val="center"/>
              <w:rPr>
                <w:rFonts w:hint="eastAsia" w:ascii="仿宋_GB2312" w:hAnsi="宋体" w:eastAsia="仿宋_GB2312" w:cs="仿宋_GB2312"/>
                <w:color w:val="auto"/>
                <w:sz w:val="18"/>
                <w:szCs w:val="18"/>
                <w:highlight w:val="none"/>
              </w:rPr>
            </w:pPr>
          </w:p>
        </w:tc>
        <w:tc>
          <w:tcPr>
            <w:tcW w:w="986" w:type="dxa"/>
            <w:vAlign w:val="center"/>
          </w:tcPr>
          <w:p>
            <w:pPr>
              <w:jc w:val="center"/>
              <w:rPr>
                <w:rFonts w:hint="eastAsia" w:ascii="仿宋_GB2312" w:hAnsi="宋体" w:eastAsia="仿宋_GB2312" w:cs="仿宋_GB2312"/>
                <w:color w:val="auto"/>
                <w:sz w:val="18"/>
                <w:szCs w:val="18"/>
                <w:highlight w:val="none"/>
              </w:rPr>
            </w:pPr>
          </w:p>
        </w:tc>
        <w:tc>
          <w:tcPr>
            <w:tcW w:w="1205" w:type="dxa"/>
            <w:vAlign w:val="center"/>
          </w:tcPr>
          <w:p>
            <w:pPr>
              <w:jc w:val="center"/>
              <w:rPr>
                <w:rFonts w:hint="eastAsia" w:ascii="仿宋_GB2312" w:hAnsi="宋体" w:eastAsia="仿宋_GB2312" w:cs="仿宋_GB2312"/>
                <w:color w:val="auto"/>
                <w:sz w:val="18"/>
                <w:szCs w:val="18"/>
                <w:highlight w:val="none"/>
              </w:rPr>
            </w:pPr>
          </w:p>
        </w:tc>
        <w:tc>
          <w:tcPr>
            <w:tcW w:w="1783" w:type="dxa"/>
            <w:vAlign w:val="center"/>
          </w:tcPr>
          <w:p>
            <w:pPr>
              <w:jc w:val="center"/>
              <w:rPr>
                <w:rFonts w:hint="eastAsia" w:ascii="仿宋_GB2312" w:hAnsi="宋体" w:eastAsia="仿宋_GB2312" w:cs="仿宋_GB2312"/>
                <w:color w:val="auto"/>
                <w:sz w:val="18"/>
                <w:szCs w:val="18"/>
                <w:highlight w:val="none"/>
              </w:rPr>
            </w:pPr>
          </w:p>
        </w:tc>
        <w:tc>
          <w:tcPr>
            <w:tcW w:w="1547" w:type="dxa"/>
            <w:vAlign w:val="center"/>
          </w:tcPr>
          <w:p>
            <w:pPr>
              <w:jc w:val="center"/>
              <w:rPr>
                <w:rFonts w:hint="eastAsia" w:ascii="仿宋_GB2312" w:hAnsi="宋体" w:eastAsia="仿宋_GB2312" w:cs="仿宋_GB2312"/>
                <w:color w:val="auto"/>
                <w:sz w:val="18"/>
                <w:szCs w:val="18"/>
                <w:highlight w:val="none"/>
              </w:rPr>
            </w:pPr>
          </w:p>
        </w:tc>
        <w:tc>
          <w:tcPr>
            <w:tcW w:w="1186" w:type="dxa"/>
            <w:vAlign w:val="center"/>
          </w:tcPr>
          <w:p>
            <w:pPr>
              <w:jc w:val="center"/>
              <w:rPr>
                <w:rFonts w:hint="eastAsia" w:ascii="仿宋_GB2312" w:hAnsi="宋体" w:eastAsia="仿宋_GB2312" w:cs="仿宋_GB2312"/>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9566" w:type="dxa"/>
            <w:gridSpan w:val="8"/>
            <w:tcBorders>
              <w:left w:val="nil"/>
              <w:bottom w:val="nil"/>
              <w:right w:val="nil"/>
            </w:tcBorders>
            <w:vAlign w:val="bottom"/>
          </w:tcPr>
          <w:p>
            <w:pPr>
              <w:widowControl/>
              <w:jc w:val="left"/>
              <w:textAlignment w:val="bottom"/>
              <w:rPr>
                <w:rFonts w:hint="eastAsia" w:ascii="仿宋_GB2312" w:hAnsi="宋体" w:eastAsia="仿宋_GB2312" w:cs="仿宋_GB2312"/>
                <w:b/>
                <w:color w:val="auto"/>
                <w:sz w:val="24"/>
                <w:szCs w:val="24"/>
                <w:highlight w:val="none"/>
              </w:rPr>
            </w:pPr>
            <w:r>
              <w:rPr>
                <w:rFonts w:hint="eastAsia" w:ascii="仿宋_GB2312" w:hAnsi="宋体" w:eastAsia="仿宋_GB2312" w:cs="仿宋_GB2312"/>
                <w:b/>
                <w:color w:val="auto"/>
                <w:sz w:val="24"/>
                <w:szCs w:val="24"/>
                <w:highlight w:val="none"/>
                <w:lang w:bidi="ar"/>
              </w:rPr>
              <w:t>填表：</w:t>
            </w:r>
            <w:r>
              <w:rPr>
                <w:rFonts w:hint="eastAsia" w:ascii="仿宋_GB2312" w:hAnsi="宋体" w:eastAsia="仿宋_GB2312" w:cs="仿宋_GB2312"/>
                <w:b/>
                <w:color w:val="auto"/>
                <w:sz w:val="24"/>
                <w:szCs w:val="24"/>
                <w:highlight w:val="none"/>
                <w:lang w:val="en-US" w:eastAsia="zh-CN" w:bidi="ar"/>
              </w:rPr>
              <w:t>刘亚</w:t>
            </w:r>
            <w:r>
              <w:rPr>
                <w:rFonts w:hint="eastAsia" w:ascii="仿宋_GB2312" w:hAnsi="宋体" w:eastAsia="仿宋_GB2312" w:cs="仿宋_GB2312"/>
                <w:b/>
                <w:color w:val="auto"/>
                <w:sz w:val="24"/>
                <w:szCs w:val="24"/>
                <w:highlight w:val="none"/>
                <w:lang w:bidi="ar"/>
              </w:rPr>
              <w:t xml:space="preserve">                  复核：</w:t>
            </w:r>
            <w:r>
              <w:rPr>
                <w:rFonts w:hint="eastAsia" w:ascii="仿宋_GB2312" w:hAnsi="宋体" w:eastAsia="仿宋_GB2312" w:cs="仿宋_GB2312"/>
                <w:b/>
                <w:color w:val="auto"/>
                <w:sz w:val="24"/>
                <w:szCs w:val="24"/>
                <w:highlight w:val="none"/>
                <w:lang w:val="en-US" w:eastAsia="zh-CN" w:bidi="ar"/>
              </w:rPr>
              <w:t>刘佳</w:t>
            </w:r>
            <w:r>
              <w:rPr>
                <w:rFonts w:hint="eastAsia" w:ascii="仿宋_GB2312" w:hAnsi="宋体" w:eastAsia="仿宋_GB2312" w:cs="仿宋_GB2312"/>
                <w:b/>
                <w:color w:val="auto"/>
                <w:sz w:val="24"/>
                <w:szCs w:val="24"/>
                <w:highlight w:val="none"/>
                <w:lang w:bidi="ar"/>
              </w:rPr>
              <w:t xml:space="preserve">                 试验技术负责人：</w:t>
            </w:r>
            <w:r>
              <w:rPr>
                <w:rFonts w:hint="eastAsia" w:ascii="仿宋_GB2312" w:hAnsi="宋体" w:eastAsia="仿宋_GB2312" w:cs="仿宋_GB2312"/>
                <w:b/>
                <w:color w:val="auto"/>
                <w:sz w:val="24"/>
                <w:szCs w:val="24"/>
                <w:highlight w:val="none"/>
                <w:lang w:val="en-US" w:eastAsia="zh-CN" w:bidi="ar"/>
              </w:rPr>
              <w:t>张鹏涛</w:t>
            </w:r>
            <w:r>
              <w:rPr>
                <w:rFonts w:hint="eastAsia" w:ascii="仿宋_GB2312" w:hAnsi="宋体" w:eastAsia="仿宋_GB2312" w:cs="仿宋_GB2312"/>
                <w:b/>
                <w:color w:val="auto"/>
                <w:sz w:val="24"/>
                <w:szCs w:val="24"/>
                <w:highlight w:val="none"/>
                <w:lang w:bidi="ar"/>
              </w:rPr>
              <w:t xml:space="preserve"> </w:t>
            </w:r>
          </w:p>
        </w:tc>
      </w:tr>
    </w:tbl>
    <w:p>
      <w:pPr>
        <w:pStyle w:val="2"/>
        <w:rPr>
          <w:rFonts w:hint="eastAsia"/>
          <w:lang w:val="en-US" w:eastAsia="zh-CN"/>
        </w:rPr>
      </w:pPr>
      <w:r>
        <w:rPr>
          <w:rFonts w:hint="eastAsia"/>
          <w:lang w:val="en-US" w:eastAsia="zh-CN"/>
        </w:rPr>
        <w:br w:type="page"/>
      </w:r>
    </w:p>
    <w:tbl>
      <w:tblPr>
        <w:tblStyle w:val="9"/>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7"/>
        <w:gridCol w:w="435"/>
        <w:gridCol w:w="1890"/>
        <w:gridCol w:w="687"/>
        <w:gridCol w:w="733"/>
        <w:gridCol w:w="895"/>
        <w:gridCol w:w="951"/>
        <w:gridCol w:w="826"/>
        <w:gridCol w:w="953"/>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755" w:type="dxa"/>
            <w:gridSpan w:val="10"/>
            <w:tcBorders>
              <w:top w:val="nil"/>
              <w:left w:val="nil"/>
              <w:bottom w:val="nil"/>
              <w:right w:val="nil"/>
              <w:tl2br w:val="nil"/>
              <w:tr2bl w:val="nil"/>
            </w:tcBorders>
            <w:vAlign w:val="center"/>
          </w:tcPr>
          <w:p>
            <w:pPr>
              <w:jc w:val="center"/>
              <w:textAlignment w:val="center"/>
              <w:rPr>
                <w:rFonts w:hint="default" w:ascii="仿宋_GB2312" w:hAnsi="宋体" w:eastAsia="仿宋_GB2312"/>
                <w:b/>
                <w:color w:val="000000"/>
                <w:kern w:val="0"/>
                <w:sz w:val="40"/>
                <w:lang w:val="en-US" w:eastAsia="zh-CN"/>
              </w:rPr>
            </w:pPr>
            <w:r>
              <w:rPr>
                <w:rFonts w:hint="default" w:ascii="仿宋_GB2312" w:hAnsi="宋体" w:eastAsia="仿宋_GB2312" w:cs="仿宋_GB2312"/>
                <w:b/>
                <w:color w:val="auto"/>
                <w:sz w:val="28"/>
                <w:szCs w:val="28"/>
                <w:highlight w:val="none"/>
                <w:lang w:val="en-US" w:eastAsia="zh-CN" w:bidi="ar"/>
              </w:rPr>
              <w:t>太行山高速邢台段2017年12月-2018年1月试验月报汇总表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755" w:type="dxa"/>
            <w:gridSpan w:val="10"/>
            <w:tcBorders>
              <w:top w:val="nil"/>
              <w:left w:val="nil"/>
              <w:bottom w:val="single" w:color="000000" w:sz="4" w:space="0"/>
              <w:right w:val="nil"/>
              <w:tl2br w:val="nil"/>
              <w:tr2bl w:val="nil"/>
            </w:tcBorders>
            <w:vAlign w:val="center"/>
          </w:tcPr>
          <w:p>
            <w:pPr>
              <w:jc w:val="left"/>
              <w:textAlignment w:val="center"/>
              <w:rPr>
                <w:rFonts w:hint="default" w:ascii="仿宋_GB2312" w:hAnsi="宋体" w:eastAsia="仿宋_GB2312"/>
                <w:color w:val="000000"/>
                <w:kern w:val="0"/>
                <w:sz w:val="22"/>
                <w:lang w:val="en-US" w:eastAsia="zh-CN"/>
              </w:rPr>
            </w:pPr>
            <w:r>
              <w:rPr>
                <w:rFonts w:hint="default" w:ascii="仿宋_GB2312" w:hAnsi="宋体" w:eastAsia="仿宋_GB2312"/>
                <w:color w:val="000000"/>
                <w:kern w:val="0"/>
                <w:sz w:val="22"/>
                <w:lang w:val="en-US" w:eastAsia="zh-CN"/>
              </w:rPr>
              <w:t xml:space="preserve">单位名称： 河北通达工程监理咨询有限公司                         合同号：XTJL3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72"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32"/>
              </w:rPr>
            </w:pPr>
            <w:r>
              <w:rPr>
                <w:rFonts w:hint="default" w:ascii="仿宋_GB2312" w:hAnsi="宋体" w:eastAsia="仿宋_GB2312"/>
                <w:b/>
                <w:color w:val="000000"/>
                <w:kern w:val="0"/>
                <w:sz w:val="32"/>
                <w:lang w:val="en-US" w:eastAsia="zh-CN"/>
              </w:rPr>
              <w:t>试验项目名称</w:t>
            </w:r>
          </w:p>
        </w:tc>
        <w:tc>
          <w:tcPr>
            <w:tcW w:w="231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24"/>
              </w:rPr>
            </w:pPr>
            <w:r>
              <w:rPr>
                <w:rFonts w:hint="default" w:ascii="仿宋_GB2312" w:hAnsi="宋体" w:eastAsia="仿宋_GB2312"/>
                <w:b/>
                <w:color w:val="000000"/>
                <w:kern w:val="0"/>
                <w:sz w:val="24"/>
                <w:lang w:val="en-US" w:eastAsia="zh-CN"/>
              </w:rPr>
              <w:t>本月试验情况</w:t>
            </w:r>
          </w:p>
        </w:tc>
        <w:tc>
          <w:tcPr>
            <w:tcW w:w="273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24"/>
              </w:rPr>
            </w:pPr>
            <w:r>
              <w:rPr>
                <w:rFonts w:hint="default" w:ascii="仿宋_GB2312" w:hAnsi="宋体" w:eastAsia="仿宋_GB2312"/>
                <w:b/>
                <w:color w:val="000000"/>
                <w:kern w:val="0"/>
                <w:sz w:val="24"/>
                <w:lang w:val="en-US" w:eastAsia="zh-CN"/>
              </w:rPr>
              <w:t>到本月累计试验情况</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72"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32"/>
              </w:rPr>
            </w:pP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18"/>
              </w:rPr>
            </w:pPr>
            <w:r>
              <w:rPr>
                <w:rFonts w:hint="default" w:ascii="仿宋_GB2312" w:hAnsi="宋体" w:eastAsia="仿宋_GB2312"/>
                <w:b/>
                <w:color w:val="000000"/>
                <w:kern w:val="0"/>
                <w:sz w:val="18"/>
                <w:lang w:val="en-US" w:eastAsia="zh-CN"/>
              </w:rPr>
              <w:t>检测次数</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18"/>
              </w:rPr>
            </w:pPr>
            <w:r>
              <w:rPr>
                <w:rFonts w:hint="default" w:ascii="仿宋_GB2312" w:hAnsi="宋体" w:eastAsia="仿宋_GB2312"/>
                <w:b/>
                <w:color w:val="000000"/>
                <w:kern w:val="0"/>
                <w:sz w:val="18"/>
                <w:lang w:val="en-US" w:eastAsia="zh-CN"/>
              </w:rPr>
              <w:t>合格次数</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18"/>
              </w:rPr>
            </w:pPr>
            <w:r>
              <w:rPr>
                <w:rFonts w:hint="default" w:ascii="仿宋_GB2312" w:hAnsi="宋体" w:eastAsia="仿宋_GB2312"/>
                <w:b/>
                <w:color w:val="000000"/>
                <w:kern w:val="0"/>
                <w:sz w:val="18"/>
                <w:lang w:val="en-US" w:eastAsia="zh-CN"/>
              </w:rPr>
              <w:t>合格率（%）</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18"/>
              </w:rPr>
            </w:pPr>
            <w:r>
              <w:rPr>
                <w:rFonts w:hint="default" w:ascii="仿宋_GB2312" w:hAnsi="宋体" w:eastAsia="仿宋_GB2312"/>
                <w:b/>
                <w:color w:val="000000"/>
                <w:kern w:val="0"/>
                <w:sz w:val="18"/>
                <w:lang w:val="en-US" w:eastAsia="zh-CN"/>
              </w:rPr>
              <w:t>累计检测次数</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18"/>
              </w:rPr>
            </w:pPr>
            <w:r>
              <w:rPr>
                <w:rFonts w:hint="default" w:ascii="仿宋_GB2312" w:hAnsi="宋体" w:eastAsia="仿宋_GB2312"/>
                <w:b/>
                <w:color w:val="000000"/>
                <w:kern w:val="0"/>
                <w:sz w:val="18"/>
                <w:lang w:val="en-US" w:eastAsia="zh-CN"/>
              </w:rPr>
              <w:t>累计合格次数</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18"/>
              </w:rPr>
            </w:pPr>
            <w:r>
              <w:rPr>
                <w:rFonts w:hint="default" w:ascii="仿宋_GB2312" w:hAnsi="宋体" w:eastAsia="仿宋_GB2312"/>
                <w:b/>
                <w:color w:val="000000"/>
                <w:kern w:val="0"/>
                <w:sz w:val="18"/>
                <w:lang w:val="en-US" w:eastAsia="zh-CN"/>
              </w:rPr>
              <w:t>合格率（%）</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b/>
                <w:color w:val="000000"/>
                <w:sz w:val="24"/>
              </w:rPr>
            </w:pPr>
            <w:r>
              <w:rPr>
                <w:rFonts w:hint="default" w:ascii="仿宋_GB2312" w:hAnsi="宋体" w:eastAsia="仿宋_GB2312"/>
                <w:b/>
                <w:color w:val="000000"/>
                <w:kern w:val="0"/>
                <w:sz w:val="24"/>
                <w:lang w:val="en-US" w:eastAsia="zh-CN"/>
              </w:rPr>
              <w:t>原          材            料             试    验</w:t>
            </w:r>
          </w:p>
        </w:tc>
        <w:tc>
          <w:tcPr>
            <w:tcW w:w="4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土工试验</w:t>
            </w: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标准击实</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液塑限</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颗粒分析</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CBR</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rPr>
            </w:pPr>
            <w:r>
              <w:rPr>
                <w:rFonts w:hint="default" w:ascii="仿宋_GB2312" w:hAnsi="宋体" w:eastAsia="仿宋_GB2312"/>
                <w:color w:val="auto"/>
                <w:kern w:val="0"/>
                <w:sz w:val="18"/>
                <w:lang w:val="en-US" w:eastAsia="zh-CN"/>
              </w:rPr>
              <w:t>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水泥品质</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49</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49</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272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180" w:firstLineChars="100"/>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272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钢筋</w:t>
            </w: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钢筋原材</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740</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740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22"/>
                <w:lang w:val="en-US" w:eastAsia="zh-CN"/>
              </w:rPr>
            </w:pPr>
            <w:r>
              <w:rPr>
                <w:rFonts w:hint="eastAsia" w:ascii="仿宋_GB2312" w:hAnsi="宋体" w:eastAsia="仿宋_GB2312"/>
                <w:color w:val="auto"/>
                <w:kern w:val="0"/>
                <w:sz w:val="22"/>
                <w:lang w:val="en-US" w:eastAsia="zh-CN"/>
              </w:rPr>
              <w:t>焊件及可焊性</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314</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314</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985</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985</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粗            集                料</w:t>
            </w: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单级配筛分</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180" w:firstLineChars="100"/>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混合级配筛分</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52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52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密度</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168</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168</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压碎值</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360" w:firstLineChars="200"/>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100</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吸水率</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168</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168</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针片状</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含泥量</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泥块含量</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11</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180" w:firstLineChars="100"/>
              <w:textAlignment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11</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302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细             集             料</w:t>
            </w: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筛分</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199</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199</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密度</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18</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18</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含泥量</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14</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14</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193</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193</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22"/>
              </w:rPr>
            </w:pPr>
          </w:p>
        </w:tc>
        <w:tc>
          <w:tcPr>
            <w:tcW w:w="18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泥块含量</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14</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14</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193</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193</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石灰品质</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石料抗压强度</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nil"/>
              <w:tl2br w:val="nil"/>
              <w:tr2bl w:val="nil"/>
            </w:tcBorders>
            <w:vAlign w:val="center"/>
          </w:tcPr>
          <w:p>
            <w:pPr>
              <w:jc w:val="center"/>
              <w:textAlignment w:val="center"/>
              <w:rPr>
                <w:rFonts w:hint="default" w:ascii="仿宋_GB2312" w:hAnsi="宋体" w:eastAsia="仿宋_GB2312"/>
                <w:color w:val="auto"/>
                <w:sz w:val="22"/>
              </w:rPr>
            </w:pPr>
            <w:r>
              <w:rPr>
                <w:rFonts w:hint="default" w:ascii="仿宋_GB2312" w:hAnsi="宋体" w:eastAsia="仿宋_GB2312"/>
                <w:color w:val="auto"/>
                <w:kern w:val="0"/>
                <w:sz w:val="22"/>
                <w:lang w:val="en-US" w:eastAsia="zh-CN"/>
              </w:rPr>
              <w:t>粉煤灰</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5</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5</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104</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104</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矿渣粉</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减水剂</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16</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16</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restart"/>
            <w:tcBorders>
              <w:top w:val="nil"/>
              <w:left w:val="single" w:color="000000" w:sz="4" w:space="0"/>
              <w:bottom w:val="nil"/>
              <w:right w:val="single" w:color="000000" w:sz="4" w:space="0"/>
              <w:tl2br w:val="nil"/>
              <w:tr2bl w:val="nil"/>
            </w:tcBorders>
            <w:vAlign w:val="center"/>
          </w:tcPr>
          <w:p>
            <w:pPr>
              <w:jc w:val="center"/>
              <w:textAlignment w:val="center"/>
              <w:rPr>
                <w:rFonts w:hint="default" w:ascii="仿宋_GB2312" w:hAnsi="宋体" w:eastAsia="仿宋_GB2312"/>
                <w:b/>
                <w:color w:val="000000"/>
                <w:sz w:val="24"/>
              </w:rPr>
            </w:pPr>
            <w:r>
              <w:rPr>
                <w:rFonts w:hint="default" w:ascii="仿宋_GB2312" w:hAnsi="宋体" w:eastAsia="仿宋_GB2312"/>
                <w:b/>
                <w:color w:val="000000"/>
                <w:kern w:val="0"/>
                <w:sz w:val="24"/>
                <w:lang w:val="en-US" w:eastAsia="zh-CN"/>
              </w:rPr>
              <w:t>配           合           比</w:t>
            </w: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水泥混凝土配合比</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7</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7</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孔道压浆配合比</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水泥砂浆配合比</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restart"/>
            <w:tcBorders>
              <w:top w:val="single" w:color="000000" w:sz="4" w:space="0"/>
              <w:left w:val="single" w:color="000000" w:sz="4" w:space="0"/>
              <w:bottom w:val="nil"/>
              <w:right w:val="single" w:color="000000" w:sz="4" w:space="0"/>
              <w:tl2br w:val="nil"/>
              <w:tr2bl w:val="nil"/>
            </w:tcBorders>
            <w:vAlign w:val="center"/>
          </w:tcPr>
          <w:p>
            <w:pPr>
              <w:jc w:val="center"/>
              <w:textAlignment w:val="center"/>
              <w:rPr>
                <w:rFonts w:hint="default" w:ascii="仿宋_GB2312" w:hAnsi="宋体" w:eastAsia="仿宋_GB2312"/>
                <w:b/>
                <w:color w:val="000000"/>
                <w:kern w:val="0"/>
                <w:sz w:val="24"/>
                <w:lang w:val="en-US" w:eastAsia="zh-CN"/>
              </w:rPr>
            </w:pPr>
            <w:r>
              <w:rPr>
                <w:rFonts w:hint="default" w:ascii="仿宋_GB2312" w:hAnsi="宋体" w:eastAsia="仿宋_GB2312"/>
                <w:b/>
                <w:color w:val="000000"/>
                <w:kern w:val="0"/>
                <w:sz w:val="24"/>
                <w:lang w:val="en-US" w:eastAsia="zh-CN"/>
              </w:rPr>
              <w:t xml:space="preserve">                              </w:t>
            </w:r>
          </w:p>
          <w:p>
            <w:pPr>
              <w:jc w:val="center"/>
              <w:textAlignment w:val="center"/>
              <w:rPr>
                <w:rFonts w:hint="eastAsia" w:ascii="仿宋_GB2312" w:hAnsi="宋体" w:eastAsia="仿宋_GB2312"/>
                <w:b/>
                <w:color w:val="000000"/>
                <w:sz w:val="24"/>
              </w:rPr>
            </w:pPr>
            <w:r>
              <w:rPr>
                <w:rFonts w:hint="eastAsia" w:ascii="仿宋_GB2312" w:hAnsi="宋体" w:eastAsia="仿宋_GB2312"/>
                <w:b/>
                <w:color w:val="000000"/>
                <w:kern w:val="0"/>
                <w:sz w:val="24"/>
                <w:lang w:val="en-US" w:eastAsia="zh-CN"/>
              </w:rPr>
              <w:t xml:space="preserve">现          场                 </w:t>
            </w: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水泥混凝土强度试验</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706</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706</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5813</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5813</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kern w:val="0"/>
                <w:sz w:val="18"/>
                <w:lang w:val="en-US" w:eastAsia="zh-CN"/>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水泥砂浆强度试验</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10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10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329</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329</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水泥净浆强度试验</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97</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ind w:firstLine="360" w:firstLineChars="200"/>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97</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textAlignment w:val="center"/>
              <w:rPr>
                <w:rFonts w:hint="default" w:ascii="仿宋_GB2312" w:hAnsi="宋体" w:eastAsia="仿宋_GB2312"/>
                <w:b/>
                <w:color w:val="000000"/>
                <w:sz w:val="24"/>
              </w:rPr>
            </w:pPr>
          </w:p>
        </w:tc>
        <w:tc>
          <w:tcPr>
            <w:tcW w:w="2325" w:type="dxa"/>
            <w:gridSpan w:val="2"/>
            <w:tcBorders>
              <w:top w:val="nil"/>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水泥混凝土拌合物稠度</w:t>
            </w:r>
          </w:p>
        </w:tc>
        <w:tc>
          <w:tcPr>
            <w:tcW w:w="687" w:type="dxa"/>
            <w:tcBorders>
              <w:top w:val="nil"/>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nil"/>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nil"/>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51" w:type="dxa"/>
            <w:tcBorders>
              <w:top w:val="nil"/>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0</w:t>
            </w:r>
          </w:p>
        </w:tc>
        <w:tc>
          <w:tcPr>
            <w:tcW w:w="826" w:type="dxa"/>
            <w:tcBorders>
              <w:top w:val="nil"/>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0</w:t>
            </w:r>
          </w:p>
        </w:tc>
        <w:tc>
          <w:tcPr>
            <w:tcW w:w="953" w:type="dxa"/>
            <w:tcBorders>
              <w:top w:val="nil"/>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38" w:type="dxa"/>
            <w:tcBorders>
              <w:top w:val="nil"/>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压实度</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111</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111</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灰剂量</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111</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111</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结构物保护层厚度</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0</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0</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结构物回弹强度</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0</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0</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水凝混凝土抗折强度试验</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0</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0</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color w:val="00000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nil"/>
              <w:left w:val="single" w:color="000000" w:sz="4" w:space="0"/>
              <w:bottom w:val="single" w:color="auto" w:sz="4" w:space="0"/>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地基承载力试验</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13</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13</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70</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70</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b/>
                <w:color w:val="000000"/>
                <w:sz w:val="24"/>
              </w:rPr>
            </w:pPr>
            <w:r>
              <w:rPr>
                <w:rFonts w:hint="default" w:ascii="仿宋_GB2312" w:hAnsi="宋体" w:eastAsia="仿宋_GB2312"/>
                <w:b/>
                <w:color w:val="000000"/>
                <w:kern w:val="0"/>
                <w:sz w:val="24"/>
                <w:lang w:val="en-US" w:eastAsia="zh-CN"/>
              </w:rPr>
              <w:t xml:space="preserve">外  委          试          验       </w:t>
            </w: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粉煤灰</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高炉矿渣粉</w:t>
            </w:r>
          </w:p>
        </w:tc>
        <w:tc>
          <w:tcPr>
            <w:tcW w:w="68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w:t>
            </w:r>
          </w:p>
        </w:tc>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10</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5</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5</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粗集料</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细集料</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外加剂</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15</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15</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桥梁支座</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eastAsia" w:ascii="仿宋_GB2312" w:hAnsi="宋体" w:eastAsia="仿宋_GB2312"/>
                <w:color w:val="auto"/>
                <w:kern w:val="0"/>
                <w:sz w:val="18"/>
                <w:lang w:val="en-US" w:eastAsia="zh-CN"/>
              </w:rPr>
              <w:t>100%</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17</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17</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钢绞线</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12</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12</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锚具</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8</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8</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夹片</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8</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8</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土工格栅</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1</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6</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6</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土工格室</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3</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土工布</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5</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5</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工字钢</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ind w:firstLine="360" w:firstLineChars="200"/>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rPr>
            </w:pPr>
            <w:r>
              <w:rPr>
                <w:rFonts w:hint="eastAsia" w:ascii="宋体" w:hAnsi="宋体"/>
                <w:color w:val="auto"/>
                <w:kern w:val="0"/>
                <w:sz w:val="24"/>
                <w:lang w:val="en-US" w:eastAsia="zh-CN"/>
              </w:rPr>
              <w:t>46</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rPr>
            </w:pPr>
            <w:r>
              <w:rPr>
                <w:rFonts w:hint="eastAsia" w:ascii="宋体" w:hAnsi="宋体"/>
                <w:color w:val="auto"/>
                <w:kern w:val="0"/>
                <w:sz w:val="24"/>
                <w:lang w:val="en-US" w:eastAsia="zh-CN"/>
              </w:rPr>
              <w:t>46</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桩基检测</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rPr>
                <w:rFonts w:hint="eastAsia" w:ascii="宋体" w:hAnsi="宋体"/>
                <w:color w:val="auto"/>
                <w:sz w:val="24"/>
                <w:lang w:val="en-US" w:eastAsia="zh-CN"/>
              </w:rPr>
            </w:pPr>
            <w:r>
              <w:rPr>
                <w:rFonts w:hint="eastAsia" w:ascii="宋体" w:hAnsi="宋体"/>
                <w:color w:val="auto"/>
                <w:sz w:val="24"/>
                <w:lang w:val="en-US" w:eastAsia="zh-CN"/>
              </w:rPr>
              <w:t>0</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rPr>
                <w:rFonts w:hint="eastAsia" w:ascii="宋体" w:hAnsi="宋体"/>
                <w:color w:val="auto"/>
                <w:sz w:val="24"/>
                <w:lang w:val="en-US" w:eastAsia="zh-CN"/>
              </w:rPr>
            </w:pPr>
            <w:r>
              <w:rPr>
                <w:rFonts w:hint="eastAsia" w:ascii="宋体" w:hAnsi="宋体"/>
                <w:color w:val="auto"/>
                <w:sz w:val="24"/>
                <w:lang w:val="en-US" w:eastAsia="zh-CN"/>
              </w:rPr>
              <w:t>0</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2</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6</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6</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塑料波纹管</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rPr>
            </w:pPr>
            <w:r>
              <w:rPr>
                <w:rFonts w:hint="eastAsia" w:ascii="宋体" w:hAnsi="宋体"/>
                <w:color w:val="auto"/>
                <w:kern w:val="0"/>
                <w:sz w:val="24"/>
                <w:lang w:val="en-US" w:eastAsia="zh-CN"/>
              </w:rPr>
              <w:t>19</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rPr>
            </w:pPr>
            <w:r>
              <w:rPr>
                <w:rFonts w:hint="eastAsia" w:ascii="宋体" w:hAnsi="宋体"/>
                <w:color w:val="auto"/>
                <w:kern w:val="0"/>
                <w:sz w:val="24"/>
                <w:lang w:val="en-US" w:eastAsia="zh-CN"/>
              </w:rPr>
              <w:t>19</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default"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钢波纹管涵原材</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rPr>
            </w:pPr>
            <w:r>
              <w:rPr>
                <w:rFonts w:hint="eastAsia" w:ascii="宋体" w:hAnsi="宋体"/>
                <w:color w:val="auto"/>
                <w:kern w:val="0"/>
                <w:sz w:val="24"/>
                <w:lang w:val="en-US" w:eastAsia="zh-CN"/>
              </w:rPr>
              <w:t>4</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4</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0000"/>
                <w:sz w:val="22"/>
              </w:rPr>
            </w:pPr>
            <w:r>
              <w:rPr>
                <w:rFonts w:hint="default" w:ascii="仿宋_GB2312" w:hAnsi="宋体" w:eastAsia="仿宋_GB2312"/>
                <w:color w:val="000000"/>
                <w:kern w:val="0"/>
                <w:sz w:val="22"/>
                <w:lang w:val="en-US" w:eastAsia="zh-CN"/>
              </w:rPr>
              <w:t>水泥混凝土电通量试验</w:t>
            </w:r>
          </w:p>
        </w:tc>
        <w:tc>
          <w:tcPr>
            <w:tcW w:w="68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rPr>
            </w:pPr>
            <w:r>
              <w:rPr>
                <w:rFonts w:hint="eastAsia" w:ascii="宋体" w:hAnsi="宋体"/>
                <w:color w:val="auto"/>
                <w:kern w:val="0"/>
                <w:sz w:val="24"/>
                <w:lang w:val="en-US" w:eastAsia="zh-CN"/>
              </w:rPr>
              <w:t>26</w:t>
            </w:r>
          </w:p>
        </w:tc>
        <w:tc>
          <w:tcPr>
            <w:tcW w:w="826" w:type="dxa"/>
            <w:tcBorders>
              <w:top w:val="single" w:color="auto" w:sz="4" w:space="0"/>
              <w:left w:val="single" w:color="auto" w:sz="4" w:space="0"/>
              <w:bottom w:val="single" w:color="auto" w:sz="4" w:space="0"/>
              <w:right w:val="single" w:color="auto"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26</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auto" w:sz="4" w:space="0"/>
              <w:left w:val="single" w:color="auto"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0000"/>
                <w:sz w:val="22"/>
              </w:rPr>
            </w:pPr>
            <w:r>
              <w:rPr>
                <w:rFonts w:hint="eastAsia" w:ascii="仿宋_GB2312" w:hAnsi="宋体" w:eastAsia="仿宋_GB2312"/>
                <w:color w:val="000000"/>
                <w:kern w:val="0"/>
                <w:sz w:val="22"/>
                <w:lang w:val="en-US" w:eastAsia="zh-CN"/>
              </w:rPr>
              <w:t>碳素结构钢钢板</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7</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bottom"/>
          </w:tcPr>
          <w:p>
            <w:pPr>
              <w:jc w:val="center"/>
              <w:textAlignment w:val="bottom"/>
              <w:rPr>
                <w:rFonts w:hint="eastAsia" w:ascii="宋体" w:hAnsi="宋体"/>
                <w:color w:val="auto"/>
                <w:sz w:val="24"/>
                <w:lang w:val="en-US" w:eastAsia="zh-CN"/>
              </w:rPr>
            </w:pPr>
            <w:r>
              <w:rPr>
                <w:rFonts w:hint="eastAsia" w:ascii="宋体" w:hAnsi="宋体"/>
                <w:color w:val="auto"/>
                <w:sz w:val="24"/>
                <w:lang w:val="en-US" w:eastAsia="zh-CN"/>
              </w:rPr>
              <w:t>7</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shd w:val="clear" w:color="auto" w:fill="auto"/>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000000"/>
                <w:sz w:val="22"/>
              </w:rPr>
            </w:pPr>
            <w:r>
              <w:rPr>
                <w:rFonts w:hint="eastAsia" w:ascii="仿宋_GB2312" w:hAnsi="宋体" w:eastAsia="仿宋_GB2312"/>
                <w:color w:val="000000"/>
                <w:kern w:val="0"/>
                <w:sz w:val="22"/>
                <w:lang w:val="en-US" w:eastAsia="zh-CN"/>
              </w:rPr>
              <w:t>EVA单面自粘防水板</w:t>
            </w: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10</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10</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shd w:val="clear" w:color="auto" w:fill="auto"/>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000000"/>
                <w:sz w:val="22"/>
              </w:rPr>
            </w:pPr>
            <w:r>
              <w:rPr>
                <w:rFonts w:hint="eastAsia" w:ascii="仿宋_GB2312" w:hAnsi="宋体" w:eastAsia="仿宋_GB2312"/>
                <w:color w:val="000000"/>
                <w:kern w:val="0"/>
                <w:sz w:val="22"/>
                <w:lang w:val="en-US" w:eastAsia="zh-CN"/>
              </w:rPr>
              <w:t>S型背贴式止水带</w:t>
            </w: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shd w:val="clear" w:color="auto" w:fill="auto"/>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000000"/>
                <w:sz w:val="22"/>
              </w:rPr>
            </w:pPr>
            <w:r>
              <w:rPr>
                <w:rFonts w:hint="eastAsia" w:ascii="仿宋_GB2312" w:hAnsi="宋体" w:eastAsia="仿宋_GB2312"/>
                <w:color w:val="000000"/>
                <w:kern w:val="0"/>
                <w:sz w:val="22"/>
                <w:lang w:val="en-US" w:eastAsia="zh-CN"/>
              </w:rPr>
              <w:t>钢边橡胶止水带</w:t>
            </w: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shd w:val="clear" w:color="auto" w:fill="auto"/>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000000"/>
                <w:sz w:val="22"/>
              </w:rPr>
            </w:pPr>
            <w:r>
              <w:rPr>
                <w:rFonts w:hint="eastAsia" w:ascii="仿宋_GB2312" w:hAnsi="宋体" w:eastAsia="仿宋_GB2312"/>
                <w:color w:val="000000"/>
                <w:kern w:val="0"/>
                <w:sz w:val="22"/>
                <w:lang w:val="en-US" w:eastAsia="zh-CN"/>
              </w:rPr>
              <w:t>钢筋焊接网</w:t>
            </w: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2</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shd w:val="clear" w:color="auto" w:fill="auto"/>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000000"/>
                <w:sz w:val="22"/>
              </w:rPr>
            </w:pPr>
            <w:r>
              <w:rPr>
                <w:rFonts w:hint="eastAsia" w:ascii="仿宋_GB2312" w:hAnsi="宋体" w:eastAsia="仿宋_GB2312"/>
                <w:color w:val="000000"/>
                <w:kern w:val="0"/>
                <w:sz w:val="22"/>
                <w:lang w:val="en-US" w:eastAsia="zh-CN"/>
              </w:rPr>
              <w:t>砂浆锚杆</w:t>
            </w: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14</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14</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shd w:val="clear" w:color="auto" w:fill="auto"/>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000000"/>
                <w:sz w:val="22"/>
              </w:rPr>
            </w:pPr>
            <w:r>
              <w:rPr>
                <w:rFonts w:hint="eastAsia" w:ascii="仿宋_GB2312" w:hAnsi="宋体" w:eastAsia="仿宋_GB2312"/>
                <w:color w:val="000000"/>
                <w:kern w:val="0"/>
                <w:sz w:val="22"/>
                <w:lang w:val="en-US" w:eastAsia="zh-CN"/>
              </w:rPr>
              <w:t>HDPE双壁波纹管</w:t>
            </w: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3</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000000"/>
                <w:sz w:val="22"/>
                <w:lang w:eastAsia="zh-CN"/>
              </w:rPr>
            </w:pPr>
            <w:r>
              <w:rPr>
                <w:rFonts w:hint="default" w:ascii="仿宋_GB2312" w:hAnsi="宋体" w:eastAsia="仿宋_GB2312"/>
                <w:color w:val="000000"/>
                <w:sz w:val="22"/>
                <w:lang w:eastAsia="zh-CN"/>
              </w:rPr>
              <w:t>钢波纹管</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仿宋_GB2312" w:hAnsi="宋体" w:eastAsia="仿宋_GB2312"/>
                <w:color w:val="auto"/>
                <w:sz w:val="18"/>
                <w:lang w:val="en-US" w:eastAsia="zh-CN"/>
              </w:rPr>
            </w:pPr>
            <w:r>
              <w:rPr>
                <w:rFonts w:hint="eastAsia" w:ascii="仿宋_GB2312" w:hAnsi="宋体" w:eastAsia="仿宋_GB2312"/>
                <w:color w:val="auto"/>
                <w:sz w:val="18"/>
                <w:lang w:val="en-US" w:eastAsia="zh-CN"/>
              </w:rPr>
              <w:t>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00B0F0"/>
                <w:kern w:val="0"/>
                <w:sz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000000"/>
                <w:sz w:val="22"/>
                <w:lang w:eastAsia="zh-CN"/>
              </w:rPr>
            </w:pPr>
            <w:r>
              <w:rPr>
                <w:rFonts w:hint="default" w:ascii="仿宋_GB2312" w:hAnsi="宋体" w:eastAsia="仿宋_GB2312"/>
                <w:color w:val="000000"/>
                <w:sz w:val="22"/>
                <w:lang w:eastAsia="zh-CN"/>
              </w:rPr>
              <w:t>无缝钢管</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2</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00B0F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447" w:type="dxa"/>
            <w:vMerge w:val="continue"/>
            <w:tcBorders>
              <w:top w:val="single" w:color="000000" w:sz="4" w:space="0"/>
              <w:left w:val="single" w:color="auto" w:sz="4" w:space="0"/>
              <w:bottom w:val="nil"/>
              <w:right w:val="single" w:color="000000" w:sz="4" w:space="0"/>
              <w:tl2br w:val="nil"/>
              <w:tr2bl w:val="nil"/>
            </w:tcBorders>
            <w:vAlign w:val="center"/>
          </w:tcPr>
          <w:p>
            <w:pPr>
              <w:jc w:val="center"/>
              <w:rPr>
                <w:rFonts w:hint="default" w:ascii="仿宋_GB2312" w:hAnsi="宋体" w:eastAsia="仿宋_GB2312"/>
                <w:b/>
                <w:color w:val="000000"/>
                <w:sz w:val="24"/>
              </w:rPr>
            </w:pPr>
          </w:p>
        </w:tc>
        <w:tc>
          <w:tcPr>
            <w:tcW w:w="2325" w:type="dxa"/>
            <w:gridSpan w:val="2"/>
            <w:tcBorders>
              <w:top w:val="single" w:color="000000" w:sz="4" w:space="0"/>
              <w:left w:val="nil"/>
              <w:bottom w:val="nil"/>
              <w:right w:val="nil"/>
              <w:tl2br w:val="nil"/>
              <w:tr2bl w:val="nil"/>
            </w:tcBorders>
            <w:vAlign w:val="bottom"/>
          </w:tcPr>
          <w:p>
            <w:pPr>
              <w:ind w:firstLine="660" w:firstLineChars="300"/>
              <w:jc w:val="left"/>
              <w:textAlignment w:val="bottom"/>
              <w:rPr>
                <w:rFonts w:hint="default" w:ascii="仿宋_GB2312" w:hAnsi="宋体" w:eastAsia="仿宋_GB2312"/>
                <w:color w:val="000000"/>
                <w:sz w:val="22"/>
                <w:lang w:eastAsia="zh-CN"/>
              </w:rPr>
            </w:pPr>
            <w:r>
              <w:rPr>
                <w:rFonts w:hint="default" w:ascii="仿宋_GB2312" w:hAnsi="宋体" w:eastAsia="仿宋_GB2312"/>
                <w:color w:val="000000"/>
                <w:sz w:val="22"/>
                <w:lang w:eastAsia="zh-CN"/>
              </w:rPr>
              <w:t>压浆料</w:t>
            </w:r>
          </w:p>
        </w:tc>
        <w:tc>
          <w:tcPr>
            <w:tcW w:w="68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73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0</w:t>
            </w:r>
          </w:p>
        </w:tc>
        <w:tc>
          <w:tcPr>
            <w:tcW w:w="89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w:t>
            </w:r>
          </w:p>
        </w:tc>
        <w:tc>
          <w:tcPr>
            <w:tcW w:w="95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4</w:t>
            </w:r>
          </w:p>
        </w:tc>
        <w:tc>
          <w:tcPr>
            <w:tcW w:w="82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lang w:val="en-US" w:eastAsia="zh-CN"/>
              </w:rPr>
            </w:pPr>
            <w:r>
              <w:rPr>
                <w:rFonts w:hint="default" w:ascii="仿宋_GB2312" w:hAnsi="宋体" w:eastAsia="仿宋_GB2312"/>
                <w:color w:val="auto"/>
                <w:sz w:val="18"/>
                <w:lang w:val="en-US" w:eastAsia="zh-CN"/>
              </w:rPr>
              <w:t>4</w:t>
            </w:r>
          </w:p>
        </w:tc>
        <w:tc>
          <w:tcPr>
            <w:tcW w:w="95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auto"/>
                <w:sz w:val="18"/>
              </w:rPr>
            </w:pPr>
            <w:r>
              <w:rPr>
                <w:rFonts w:hint="eastAsia" w:ascii="仿宋_GB2312" w:hAnsi="宋体" w:eastAsia="仿宋_GB2312"/>
                <w:color w:val="auto"/>
                <w:kern w:val="0"/>
                <w:sz w:val="18"/>
                <w:lang w:val="en-US" w:eastAsia="zh-CN"/>
              </w:rPr>
              <w:t>100%</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宋体" w:eastAsia="仿宋_GB2312"/>
                <w:color w:val="00B0F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817" w:type="dxa"/>
            <w:gridSpan w:val="9"/>
            <w:tcBorders>
              <w:top w:val="single" w:color="000000" w:sz="4" w:space="0"/>
              <w:left w:val="nil"/>
              <w:bottom w:val="nil"/>
              <w:right w:val="nil"/>
              <w:tl2br w:val="nil"/>
              <w:tr2bl w:val="nil"/>
            </w:tcBorders>
            <w:vAlign w:val="bottom"/>
          </w:tcPr>
          <w:p>
            <w:pPr>
              <w:jc w:val="left"/>
              <w:textAlignment w:val="bottom"/>
              <w:rPr>
                <w:rFonts w:hint="default" w:ascii="仿宋_GB2312" w:hAnsi="宋体" w:eastAsia="仿宋_GB2312"/>
                <w:b/>
                <w:color w:val="000000"/>
                <w:sz w:val="24"/>
              </w:rPr>
            </w:pPr>
            <w:r>
              <w:rPr>
                <w:rFonts w:hint="default" w:ascii="仿宋_GB2312" w:hAnsi="宋体" w:eastAsia="仿宋_GB2312"/>
                <w:b/>
                <w:color w:val="000000"/>
                <w:kern w:val="0"/>
                <w:sz w:val="24"/>
                <w:lang w:val="en-US" w:eastAsia="zh-CN"/>
              </w:rPr>
              <w:t>填表：</w:t>
            </w:r>
            <w:r>
              <w:rPr>
                <w:rFonts w:hint="eastAsia" w:ascii="仿宋_GB2312" w:hAnsi="宋体" w:eastAsia="仿宋_GB2312"/>
                <w:b/>
                <w:color w:val="000000"/>
                <w:kern w:val="0"/>
                <w:sz w:val="24"/>
                <w:lang w:val="en-US" w:eastAsia="zh-CN"/>
              </w:rPr>
              <w:t>马彦凯</w:t>
            </w:r>
            <w:r>
              <w:rPr>
                <w:rFonts w:hint="default" w:ascii="仿宋_GB2312" w:hAnsi="宋体" w:eastAsia="仿宋_GB2312"/>
                <w:b/>
                <w:color w:val="000000"/>
                <w:kern w:val="0"/>
                <w:sz w:val="24"/>
                <w:lang w:val="en-US" w:eastAsia="zh-CN"/>
              </w:rPr>
              <w:t xml:space="preserve">          复核：</w:t>
            </w:r>
            <w:r>
              <w:rPr>
                <w:rFonts w:hint="eastAsia" w:ascii="仿宋_GB2312" w:hAnsi="宋体" w:eastAsia="仿宋_GB2312"/>
                <w:b/>
                <w:color w:val="000000"/>
                <w:kern w:val="0"/>
                <w:sz w:val="24"/>
                <w:lang w:val="en-US" w:eastAsia="zh-CN"/>
              </w:rPr>
              <w:t>曹兵</w:t>
            </w:r>
            <w:r>
              <w:rPr>
                <w:rFonts w:hint="default" w:ascii="仿宋_GB2312" w:hAnsi="宋体" w:eastAsia="仿宋_GB2312"/>
                <w:b/>
                <w:color w:val="000000"/>
                <w:kern w:val="0"/>
                <w:sz w:val="24"/>
                <w:lang w:val="en-US" w:eastAsia="zh-CN"/>
              </w:rPr>
              <w:t xml:space="preserve">          试验技术负责人：</w:t>
            </w:r>
            <w:r>
              <w:rPr>
                <w:rFonts w:hint="eastAsia" w:ascii="仿宋_GB2312" w:hAnsi="宋体" w:eastAsia="仿宋_GB2312"/>
                <w:b/>
                <w:color w:val="000000"/>
                <w:kern w:val="0"/>
                <w:sz w:val="24"/>
                <w:lang w:val="en-US" w:eastAsia="zh-CN"/>
              </w:rPr>
              <w:t>姚有涛</w:t>
            </w:r>
            <w:r>
              <w:rPr>
                <w:rFonts w:hint="default" w:ascii="仿宋_GB2312" w:hAnsi="宋体" w:eastAsia="仿宋_GB2312"/>
                <w:b/>
                <w:color w:val="000000"/>
                <w:kern w:val="0"/>
                <w:sz w:val="24"/>
                <w:lang w:val="en-US" w:eastAsia="zh-CN"/>
              </w:rPr>
              <w:t xml:space="preserve"> </w:t>
            </w:r>
          </w:p>
        </w:tc>
        <w:tc>
          <w:tcPr>
            <w:tcW w:w="938" w:type="dxa"/>
            <w:tcBorders>
              <w:top w:val="single" w:color="000000" w:sz="4" w:space="0"/>
              <w:left w:val="nil"/>
              <w:bottom w:val="nil"/>
              <w:right w:val="nil"/>
              <w:tl2br w:val="nil"/>
              <w:tr2bl w:val="nil"/>
            </w:tcBorders>
            <w:vAlign w:val="bottom"/>
          </w:tcPr>
          <w:p>
            <w:pPr>
              <w:jc w:val="left"/>
              <w:textAlignment w:val="bottom"/>
              <w:rPr>
                <w:rFonts w:hint="default" w:ascii="仿宋_GB2312" w:hAnsi="宋体" w:eastAsia="仿宋_GB2312"/>
                <w:b/>
                <w:color w:val="000000"/>
                <w:kern w:val="0"/>
                <w:sz w:val="24"/>
                <w:lang w:val="en-US" w:eastAsia="zh-CN"/>
              </w:rPr>
            </w:pPr>
          </w:p>
        </w:tc>
      </w:tr>
    </w:tbl>
    <w:p>
      <w:pPr>
        <w:pStyle w:val="2"/>
        <w:jc w:val="both"/>
        <w:rPr>
          <w:rFonts w:hint="eastAsia"/>
          <w:lang w:val="en-US" w:eastAsia="zh-CN"/>
        </w:rPr>
      </w:pPr>
      <w:bookmarkStart w:id="0" w:name="_GoBack"/>
      <w:bookmarkEnd w:id="0"/>
    </w:p>
    <w:sectPr>
      <w:footerReference r:id="rId4" w:type="default"/>
      <w:pgSz w:w="11906" w:h="16838"/>
      <w:pgMar w:top="1270" w:right="1860" w:bottom="1270" w:left="1463"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1</w:t>
    </w:r>
    <w:r>
      <w:rPr>
        <w:rFonts w:hint="eastAsia" w:eastAsiaTheme="minorEastAsia"/>
        <w:sz w:val="24"/>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96EE"/>
    <w:multiLevelType w:val="singleLevel"/>
    <w:tmpl w:val="437B96EE"/>
    <w:lvl w:ilvl="0" w:tentative="0">
      <w:start w:val="1"/>
      <w:numFmt w:val="decimal"/>
      <w:suff w:val="nothing"/>
      <w:lvlText w:val="%1、"/>
      <w:lvlJc w:val="left"/>
    </w:lvl>
  </w:abstractNum>
  <w:abstractNum w:abstractNumId="1">
    <w:nsid w:val="595452A4"/>
    <w:multiLevelType w:val="singleLevel"/>
    <w:tmpl w:val="595452A4"/>
    <w:lvl w:ilvl="0" w:tentative="0">
      <w:start w:val="3"/>
      <w:numFmt w:val="chineseCounting"/>
      <w:suff w:val="nothing"/>
      <w:lvlText w:val="%1、"/>
      <w:lvlJc w:val="left"/>
    </w:lvl>
  </w:abstractNum>
  <w:abstractNum w:abstractNumId="2">
    <w:nsid w:val="5A20EBC0"/>
    <w:multiLevelType w:val="singleLevel"/>
    <w:tmpl w:val="5A20EBC0"/>
    <w:lvl w:ilvl="0" w:tentative="0">
      <w:start w:val="1"/>
      <w:numFmt w:val="decimal"/>
      <w:lvlText w:val="%1."/>
      <w:lvlJc w:val="left"/>
      <w:pPr>
        <w:tabs>
          <w:tab w:val="left" w:pos="312"/>
        </w:tabs>
      </w:pPr>
    </w:lvl>
  </w:abstractNum>
  <w:abstractNum w:abstractNumId="3">
    <w:nsid w:val="5A4E3E88"/>
    <w:multiLevelType w:val="singleLevel"/>
    <w:tmpl w:val="5A4E3E88"/>
    <w:lvl w:ilvl="0" w:tentative="0">
      <w:start w:val="10"/>
      <w:numFmt w:val="decimal"/>
      <w:suff w:val="nothing"/>
      <w:lvlText w:val="%1、"/>
      <w:lvlJc w:val="left"/>
    </w:lvl>
  </w:abstractNum>
  <w:abstractNum w:abstractNumId="4">
    <w:nsid w:val="5A4E40F6"/>
    <w:multiLevelType w:val="singleLevel"/>
    <w:tmpl w:val="5A4E40F6"/>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374F"/>
    <w:rsid w:val="000E4BEE"/>
    <w:rsid w:val="000E6D47"/>
    <w:rsid w:val="00161B38"/>
    <w:rsid w:val="002E47AC"/>
    <w:rsid w:val="002F3937"/>
    <w:rsid w:val="00324CCB"/>
    <w:rsid w:val="004C45FD"/>
    <w:rsid w:val="00602C93"/>
    <w:rsid w:val="00622F40"/>
    <w:rsid w:val="006B1C58"/>
    <w:rsid w:val="007A374F"/>
    <w:rsid w:val="007D3CD7"/>
    <w:rsid w:val="00855083"/>
    <w:rsid w:val="00880456"/>
    <w:rsid w:val="008D3543"/>
    <w:rsid w:val="009D4E09"/>
    <w:rsid w:val="00AA3042"/>
    <w:rsid w:val="00BE66CC"/>
    <w:rsid w:val="00C06C4A"/>
    <w:rsid w:val="00D04C85"/>
    <w:rsid w:val="00DB0633"/>
    <w:rsid w:val="00FE6367"/>
    <w:rsid w:val="015B290A"/>
    <w:rsid w:val="01BF5484"/>
    <w:rsid w:val="01D36299"/>
    <w:rsid w:val="025E0425"/>
    <w:rsid w:val="02E73C3D"/>
    <w:rsid w:val="03913216"/>
    <w:rsid w:val="03C314BD"/>
    <w:rsid w:val="03DD2667"/>
    <w:rsid w:val="04054337"/>
    <w:rsid w:val="05521AF0"/>
    <w:rsid w:val="05AD6D44"/>
    <w:rsid w:val="05E53162"/>
    <w:rsid w:val="06285A45"/>
    <w:rsid w:val="06C25020"/>
    <w:rsid w:val="06EC194E"/>
    <w:rsid w:val="07290F0F"/>
    <w:rsid w:val="0737038C"/>
    <w:rsid w:val="075561D4"/>
    <w:rsid w:val="079A05B0"/>
    <w:rsid w:val="07B75005"/>
    <w:rsid w:val="080D2099"/>
    <w:rsid w:val="08171935"/>
    <w:rsid w:val="084209D5"/>
    <w:rsid w:val="08CB7FDB"/>
    <w:rsid w:val="091036A7"/>
    <w:rsid w:val="097A064C"/>
    <w:rsid w:val="09977547"/>
    <w:rsid w:val="0B381450"/>
    <w:rsid w:val="0B723DED"/>
    <w:rsid w:val="0B7A0D50"/>
    <w:rsid w:val="0BBB6C2F"/>
    <w:rsid w:val="0BC54521"/>
    <w:rsid w:val="0C3B67AF"/>
    <w:rsid w:val="0CE3259D"/>
    <w:rsid w:val="0D7C297A"/>
    <w:rsid w:val="0D8D0318"/>
    <w:rsid w:val="0DA9117B"/>
    <w:rsid w:val="0DCD673E"/>
    <w:rsid w:val="0DF96170"/>
    <w:rsid w:val="0E6845A0"/>
    <w:rsid w:val="0EBF0DCA"/>
    <w:rsid w:val="0ECD3441"/>
    <w:rsid w:val="0ED73F9A"/>
    <w:rsid w:val="0EE521CE"/>
    <w:rsid w:val="0F5A0E44"/>
    <w:rsid w:val="0F75751B"/>
    <w:rsid w:val="0FA57649"/>
    <w:rsid w:val="100829AB"/>
    <w:rsid w:val="106655DA"/>
    <w:rsid w:val="10C5612E"/>
    <w:rsid w:val="10DE15A4"/>
    <w:rsid w:val="10DE4AA7"/>
    <w:rsid w:val="12766712"/>
    <w:rsid w:val="12B22560"/>
    <w:rsid w:val="12C542CD"/>
    <w:rsid w:val="12C865BB"/>
    <w:rsid w:val="13772B71"/>
    <w:rsid w:val="137E752D"/>
    <w:rsid w:val="13C01ED4"/>
    <w:rsid w:val="13E27A6C"/>
    <w:rsid w:val="13EE27B0"/>
    <w:rsid w:val="144778EB"/>
    <w:rsid w:val="146B1051"/>
    <w:rsid w:val="14A640ED"/>
    <w:rsid w:val="14EE7BEF"/>
    <w:rsid w:val="15DE78CE"/>
    <w:rsid w:val="1603065E"/>
    <w:rsid w:val="161810EF"/>
    <w:rsid w:val="16314FF4"/>
    <w:rsid w:val="167D5350"/>
    <w:rsid w:val="172D3406"/>
    <w:rsid w:val="176E5750"/>
    <w:rsid w:val="17834D77"/>
    <w:rsid w:val="179D37BD"/>
    <w:rsid w:val="17EA23B9"/>
    <w:rsid w:val="184E7F9E"/>
    <w:rsid w:val="1868685D"/>
    <w:rsid w:val="188416DC"/>
    <w:rsid w:val="18D837E7"/>
    <w:rsid w:val="18DE204F"/>
    <w:rsid w:val="1901025C"/>
    <w:rsid w:val="19136D95"/>
    <w:rsid w:val="191B4259"/>
    <w:rsid w:val="19FA2AE6"/>
    <w:rsid w:val="1A074924"/>
    <w:rsid w:val="1A80273F"/>
    <w:rsid w:val="1A846208"/>
    <w:rsid w:val="1A9F5241"/>
    <w:rsid w:val="1AA47C9A"/>
    <w:rsid w:val="1ADF2B68"/>
    <w:rsid w:val="1B385AF6"/>
    <w:rsid w:val="1C10488B"/>
    <w:rsid w:val="1C175234"/>
    <w:rsid w:val="1C4A38B4"/>
    <w:rsid w:val="1C4E1324"/>
    <w:rsid w:val="1C572402"/>
    <w:rsid w:val="1C5F283C"/>
    <w:rsid w:val="1CC364E7"/>
    <w:rsid w:val="1E584A29"/>
    <w:rsid w:val="1EAC40D3"/>
    <w:rsid w:val="1EAD3347"/>
    <w:rsid w:val="1F3F4A42"/>
    <w:rsid w:val="1FAA7E70"/>
    <w:rsid w:val="1FD73E29"/>
    <w:rsid w:val="1FFB1E80"/>
    <w:rsid w:val="203D2B02"/>
    <w:rsid w:val="21B026B4"/>
    <w:rsid w:val="22E8367C"/>
    <w:rsid w:val="23176073"/>
    <w:rsid w:val="233E7244"/>
    <w:rsid w:val="23B33E35"/>
    <w:rsid w:val="23DC35FB"/>
    <w:rsid w:val="241F19E7"/>
    <w:rsid w:val="24786238"/>
    <w:rsid w:val="247F7A81"/>
    <w:rsid w:val="24BE7535"/>
    <w:rsid w:val="24CC5F63"/>
    <w:rsid w:val="280B0DE4"/>
    <w:rsid w:val="2857423D"/>
    <w:rsid w:val="287D5802"/>
    <w:rsid w:val="29030CDD"/>
    <w:rsid w:val="29494347"/>
    <w:rsid w:val="29692AB3"/>
    <w:rsid w:val="29921CF1"/>
    <w:rsid w:val="29C81269"/>
    <w:rsid w:val="2A9C24DD"/>
    <w:rsid w:val="2AC9039F"/>
    <w:rsid w:val="2AE24B93"/>
    <w:rsid w:val="2B252C50"/>
    <w:rsid w:val="2B5E50AB"/>
    <w:rsid w:val="2BD07D68"/>
    <w:rsid w:val="2C913291"/>
    <w:rsid w:val="2CA057E1"/>
    <w:rsid w:val="2EAC26D4"/>
    <w:rsid w:val="2EC03568"/>
    <w:rsid w:val="2EDE0854"/>
    <w:rsid w:val="2EEA474F"/>
    <w:rsid w:val="2F0B6A1E"/>
    <w:rsid w:val="2F6C054C"/>
    <w:rsid w:val="2F802D63"/>
    <w:rsid w:val="2F862B94"/>
    <w:rsid w:val="2F9324A0"/>
    <w:rsid w:val="2FBD4117"/>
    <w:rsid w:val="30657700"/>
    <w:rsid w:val="30B860BD"/>
    <w:rsid w:val="30FB2856"/>
    <w:rsid w:val="31585B23"/>
    <w:rsid w:val="315912F0"/>
    <w:rsid w:val="31A921DF"/>
    <w:rsid w:val="321D3D19"/>
    <w:rsid w:val="32557CF3"/>
    <w:rsid w:val="32725935"/>
    <w:rsid w:val="329A00AC"/>
    <w:rsid w:val="32A9477C"/>
    <w:rsid w:val="339946A4"/>
    <w:rsid w:val="34385D99"/>
    <w:rsid w:val="35031942"/>
    <w:rsid w:val="352A1CEF"/>
    <w:rsid w:val="35F05BEF"/>
    <w:rsid w:val="36560889"/>
    <w:rsid w:val="36582D89"/>
    <w:rsid w:val="36E51439"/>
    <w:rsid w:val="373C4F36"/>
    <w:rsid w:val="374A3FE0"/>
    <w:rsid w:val="37B16B96"/>
    <w:rsid w:val="37D94F7B"/>
    <w:rsid w:val="388E5C28"/>
    <w:rsid w:val="388F583F"/>
    <w:rsid w:val="38C63478"/>
    <w:rsid w:val="38ED5A90"/>
    <w:rsid w:val="390E0D7B"/>
    <w:rsid w:val="395A6473"/>
    <w:rsid w:val="39722AAA"/>
    <w:rsid w:val="39853EB8"/>
    <w:rsid w:val="39BA14BB"/>
    <w:rsid w:val="39E81B5F"/>
    <w:rsid w:val="39F759C5"/>
    <w:rsid w:val="3A970BBB"/>
    <w:rsid w:val="3ADB3B05"/>
    <w:rsid w:val="3B08446F"/>
    <w:rsid w:val="3B1F5ED3"/>
    <w:rsid w:val="3BAC7B88"/>
    <w:rsid w:val="3BC2052B"/>
    <w:rsid w:val="3C0C5ED7"/>
    <w:rsid w:val="3C18465F"/>
    <w:rsid w:val="3C3C63AF"/>
    <w:rsid w:val="3E173A28"/>
    <w:rsid w:val="3E7926F1"/>
    <w:rsid w:val="3E7C5188"/>
    <w:rsid w:val="3F6C26F1"/>
    <w:rsid w:val="3F744F8C"/>
    <w:rsid w:val="3F77566A"/>
    <w:rsid w:val="3F9866B2"/>
    <w:rsid w:val="3FB672E4"/>
    <w:rsid w:val="3FBB4340"/>
    <w:rsid w:val="400A0872"/>
    <w:rsid w:val="402E6F65"/>
    <w:rsid w:val="40EF52AB"/>
    <w:rsid w:val="412D6F29"/>
    <w:rsid w:val="41B352B9"/>
    <w:rsid w:val="42233CC9"/>
    <w:rsid w:val="42A86436"/>
    <w:rsid w:val="43002563"/>
    <w:rsid w:val="431F6D92"/>
    <w:rsid w:val="435A377E"/>
    <w:rsid w:val="435C7C84"/>
    <w:rsid w:val="437A4C9C"/>
    <w:rsid w:val="448B6F74"/>
    <w:rsid w:val="44C5088E"/>
    <w:rsid w:val="44D76B5A"/>
    <w:rsid w:val="458E4AAF"/>
    <w:rsid w:val="459469AC"/>
    <w:rsid w:val="463E58F8"/>
    <w:rsid w:val="46444ADF"/>
    <w:rsid w:val="46E0177E"/>
    <w:rsid w:val="46EA70DD"/>
    <w:rsid w:val="47376502"/>
    <w:rsid w:val="480E76F3"/>
    <w:rsid w:val="48275A86"/>
    <w:rsid w:val="4834614F"/>
    <w:rsid w:val="489429FB"/>
    <w:rsid w:val="48A048C3"/>
    <w:rsid w:val="48AD47CD"/>
    <w:rsid w:val="48D55EE3"/>
    <w:rsid w:val="49017B8E"/>
    <w:rsid w:val="49571272"/>
    <w:rsid w:val="4960350C"/>
    <w:rsid w:val="498861CD"/>
    <w:rsid w:val="49A837A6"/>
    <w:rsid w:val="4A4B29D5"/>
    <w:rsid w:val="4A5439D9"/>
    <w:rsid w:val="4A5D7C24"/>
    <w:rsid w:val="4ACE265E"/>
    <w:rsid w:val="4ADD076A"/>
    <w:rsid w:val="4B2D687A"/>
    <w:rsid w:val="4B5A3EA5"/>
    <w:rsid w:val="4C4B6B1D"/>
    <w:rsid w:val="4C86063A"/>
    <w:rsid w:val="4CB55659"/>
    <w:rsid w:val="4D282C45"/>
    <w:rsid w:val="4E75655E"/>
    <w:rsid w:val="4E9D6732"/>
    <w:rsid w:val="4ED25D1B"/>
    <w:rsid w:val="4ED76893"/>
    <w:rsid w:val="4F9D5EDC"/>
    <w:rsid w:val="4FBE4490"/>
    <w:rsid w:val="4FE24078"/>
    <w:rsid w:val="5061683F"/>
    <w:rsid w:val="50A5568F"/>
    <w:rsid w:val="51017AF7"/>
    <w:rsid w:val="51457E49"/>
    <w:rsid w:val="514B0B3C"/>
    <w:rsid w:val="51940CE2"/>
    <w:rsid w:val="52C00AF4"/>
    <w:rsid w:val="52ED604E"/>
    <w:rsid w:val="530B1875"/>
    <w:rsid w:val="532814AE"/>
    <w:rsid w:val="534265FB"/>
    <w:rsid w:val="535B68C0"/>
    <w:rsid w:val="535D35D0"/>
    <w:rsid w:val="53BF57AA"/>
    <w:rsid w:val="53FB5066"/>
    <w:rsid w:val="54240A93"/>
    <w:rsid w:val="544C510A"/>
    <w:rsid w:val="545A54B6"/>
    <w:rsid w:val="5467097B"/>
    <w:rsid w:val="54D60A28"/>
    <w:rsid w:val="55246A74"/>
    <w:rsid w:val="55886660"/>
    <w:rsid w:val="566029A4"/>
    <w:rsid w:val="56695FE2"/>
    <w:rsid w:val="572009C2"/>
    <w:rsid w:val="574A30F4"/>
    <w:rsid w:val="57A95956"/>
    <w:rsid w:val="57AC0E86"/>
    <w:rsid w:val="57C74467"/>
    <w:rsid w:val="586D4175"/>
    <w:rsid w:val="587343F2"/>
    <w:rsid w:val="58A72E0D"/>
    <w:rsid w:val="58BA2912"/>
    <w:rsid w:val="58CF2D47"/>
    <w:rsid w:val="59571CE7"/>
    <w:rsid w:val="598C66E5"/>
    <w:rsid w:val="59A90DD0"/>
    <w:rsid w:val="5BA25CE6"/>
    <w:rsid w:val="5BD25AF5"/>
    <w:rsid w:val="5C6C64EA"/>
    <w:rsid w:val="5C7A1693"/>
    <w:rsid w:val="5C996A34"/>
    <w:rsid w:val="5CB03175"/>
    <w:rsid w:val="5CD36D81"/>
    <w:rsid w:val="5D3A7005"/>
    <w:rsid w:val="5D7C6D39"/>
    <w:rsid w:val="5DA836AF"/>
    <w:rsid w:val="5DBE70FE"/>
    <w:rsid w:val="5DE57078"/>
    <w:rsid w:val="5DE76459"/>
    <w:rsid w:val="5DEC6CDF"/>
    <w:rsid w:val="5E0F17CB"/>
    <w:rsid w:val="5ED875FF"/>
    <w:rsid w:val="5F1C25CA"/>
    <w:rsid w:val="5F440441"/>
    <w:rsid w:val="5F784CD5"/>
    <w:rsid w:val="5FFB26D4"/>
    <w:rsid w:val="60062FB2"/>
    <w:rsid w:val="607865F2"/>
    <w:rsid w:val="60E70FD9"/>
    <w:rsid w:val="60EB2446"/>
    <w:rsid w:val="60EF2BB2"/>
    <w:rsid w:val="6139445F"/>
    <w:rsid w:val="616A6537"/>
    <w:rsid w:val="61A2724F"/>
    <w:rsid w:val="61B40438"/>
    <w:rsid w:val="61CC5650"/>
    <w:rsid w:val="61D44503"/>
    <w:rsid w:val="62036A72"/>
    <w:rsid w:val="62826027"/>
    <w:rsid w:val="62C02EBF"/>
    <w:rsid w:val="62F902FF"/>
    <w:rsid w:val="63144534"/>
    <w:rsid w:val="63C8016F"/>
    <w:rsid w:val="63FD44B2"/>
    <w:rsid w:val="6441232B"/>
    <w:rsid w:val="64460E23"/>
    <w:rsid w:val="64503D60"/>
    <w:rsid w:val="64E16061"/>
    <w:rsid w:val="651C46C8"/>
    <w:rsid w:val="651F584A"/>
    <w:rsid w:val="6531200D"/>
    <w:rsid w:val="653503B1"/>
    <w:rsid w:val="655823C6"/>
    <w:rsid w:val="655F0BAE"/>
    <w:rsid w:val="66764212"/>
    <w:rsid w:val="66937179"/>
    <w:rsid w:val="66C46233"/>
    <w:rsid w:val="67440F8F"/>
    <w:rsid w:val="67D53B33"/>
    <w:rsid w:val="67F13AE7"/>
    <w:rsid w:val="68092BA5"/>
    <w:rsid w:val="687D40BC"/>
    <w:rsid w:val="689149FD"/>
    <w:rsid w:val="689717B0"/>
    <w:rsid w:val="689D4967"/>
    <w:rsid w:val="68F4353F"/>
    <w:rsid w:val="69A7556E"/>
    <w:rsid w:val="69AB54C2"/>
    <w:rsid w:val="69BF61BC"/>
    <w:rsid w:val="6ADE74A8"/>
    <w:rsid w:val="6AEE3D2F"/>
    <w:rsid w:val="6B095407"/>
    <w:rsid w:val="6B7437B8"/>
    <w:rsid w:val="6B7D4DBE"/>
    <w:rsid w:val="6BA67BD9"/>
    <w:rsid w:val="6BAE2849"/>
    <w:rsid w:val="6C3019DA"/>
    <w:rsid w:val="6D4B73CE"/>
    <w:rsid w:val="6D4E309B"/>
    <w:rsid w:val="6D6953C0"/>
    <w:rsid w:val="6D81359B"/>
    <w:rsid w:val="6D877E4C"/>
    <w:rsid w:val="6D8C269F"/>
    <w:rsid w:val="6DBE5CAF"/>
    <w:rsid w:val="6DD9671B"/>
    <w:rsid w:val="6DDF614F"/>
    <w:rsid w:val="6E1276F4"/>
    <w:rsid w:val="6E437AE7"/>
    <w:rsid w:val="6E4D7C69"/>
    <w:rsid w:val="6EEA6355"/>
    <w:rsid w:val="6F1531C7"/>
    <w:rsid w:val="6F380CE9"/>
    <w:rsid w:val="6F5E6104"/>
    <w:rsid w:val="6F7B54DB"/>
    <w:rsid w:val="6F943940"/>
    <w:rsid w:val="6F951F98"/>
    <w:rsid w:val="6F9C4679"/>
    <w:rsid w:val="6FBE2504"/>
    <w:rsid w:val="701A6620"/>
    <w:rsid w:val="70A303CE"/>
    <w:rsid w:val="71162A4B"/>
    <w:rsid w:val="7139053F"/>
    <w:rsid w:val="71741CCB"/>
    <w:rsid w:val="71766BB9"/>
    <w:rsid w:val="71BE0469"/>
    <w:rsid w:val="71E9530D"/>
    <w:rsid w:val="720A2A46"/>
    <w:rsid w:val="727E2AC5"/>
    <w:rsid w:val="72F46C32"/>
    <w:rsid w:val="72FD37B4"/>
    <w:rsid w:val="738C2E48"/>
    <w:rsid w:val="73F246BB"/>
    <w:rsid w:val="74366D70"/>
    <w:rsid w:val="74822E5E"/>
    <w:rsid w:val="751F3715"/>
    <w:rsid w:val="753E68E1"/>
    <w:rsid w:val="75770147"/>
    <w:rsid w:val="75985A46"/>
    <w:rsid w:val="75F4566A"/>
    <w:rsid w:val="76223EC2"/>
    <w:rsid w:val="7752618D"/>
    <w:rsid w:val="7760771E"/>
    <w:rsid w:val="77A2321C"/>
    <w:rsid w:val="77F972A9"/>
    <w:rsid w:val="785053F5"/>
    <w:rsid w:val="7A663FE6"/>
    <w:rsid w:val="7A895BF0"/>
    <w:rsid w:val="7A954A22"/>
    <w:rsid w:val="7AB00705"/>
    <w:rsid w:val="7AB404AA"/>
    <w:rsid w:val="7ADA29AF"/>
    <w:rsid w:val="7ADA71F7"/>
    <w:rsid w:val="7B1633D8"/>
    <w:rsid w:val="7B7D2BA1"/>
    <w:rsid w:val="7BB53A58"/>
    <w:rsid w:val="7BC44EC7"/>
    <w:rsid w:val="7BFB746D"/>
    <w:rsid w:val="7C972D98"/>
    <w:rsid w:val="7CBC7CFB"/>
    <w:rsid w:val="7D1236D1"/>
    <w:rsid w:val="7DAA0939"/>
    <w:rsid w:val="7E443BFB"/>
    <w:rsid w:val="7E8737FA"/>
    <w:rsid w:val="7EF33AE4"/>
    <w:rsid w:val="7F512FBC"/>
    <w:rsid w:val="7FC4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a正文4"/>
    <w:basedOn w:val="1"/>
    <w:qFormat/>
    <w:uiPriority w:val="0"/>
    <w:pPr>
      <w:jc w:val="center"/>
    </w:pPr>
    <w:rPr>
      <w:rFonts w:ascii="Arial" w:hAnsi="Arial" w:cs="Arial"/>
      <w:snapToGrid w:val="0"/>
      <w:kern w:val="0"/>
      <w:sz w:val="24"/>
      <w:szCs w:val="28"/>
    </w:rPr>
  </w:style>
  <w:style w:type="paragraph" w:styleId="3">
    <w:name w:val="Body Text"/>
    <w:basedOn w:val="1"/>
    <w:qFormat/>
    <w:uiPriority w:val="0"/>
    <w:pPr>
      <w:jc w:val="center"/>
    </w:pPr>
    <w:rPr>
      <w:b/>
      <w:bCs/>
      <w:spacing w:val="80"/>
      <w:kern w:val="10"/>
      <w:sz w:val="52"/>
    </w:rPr>
  </w:style>
  <w:style w:type="paragraph" w:styleId="4">
    <w:name w:val="Plain Text"/>
    <w:basedOn w:val="1"/>
    <w:qFormat/>
    <w:uiPriority w:val="0"/>
    <w:rPr>
      <w:rFonts w:ascii="宋体"/>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10">
    <w:name w:val="章样式"/>
    <w:basedOn w:val="1"/>
    <w:qFormat/>
    <w:uiPriority w:val="0"/>
    <w:pPr>
      <w:tabs>
        <w:tab w:val="left" w:pos="360"/>
      </w:tabs>
      <w:adjustRightInd w:val="0"/>
      <w:snapToGrid w:val="0"/>
      <w:spacing w:line="360" w:lineRule="auto"/>
      <w:ind w:left="360" w:hanging="360"/>
    </w:pPr>
    <w:rPr>
      <w:rFonts w:ascii="宋体" w:hAnsi="Arial"/>
      <w:b/>
      <w:sz w:val="32"/>
      <w:szCs w:val="32"/>
    </w:rPr>
  </w:style>
  <w:style w:type="paragraph" w:customStyle="1" w:styleId="11">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14</Pages>
  <Words>1141</Words>
  <Characters>6509</Characters>
  <Lines>54</Lines>
  <Paragraphs>15</Paragraphs>
  <ScaleCrop>false</ScaleCrop>
  <LinksUpToDate>false</LinksUpToDate>
  <CharactersWithSpaces>7635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2017-05-16T01:26:00Z</dcterms:created>
  <dc:creator>Administrator.2016-20170424DC</dc:creator>
  <cp:lastModifiedBy>Administrator</cp:lastModifiedBy>
  <cp:lastPrinted>2017-07-27T09:25:00Z</cp:lastPrinted>
  <dcterms:modified xsi:type="dcterms:W3CDTF">2018-02-03T04:03:58Z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